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F41" w:rsidRDefault="00C91F41" w:rsidP="00292A74">
      <w:pPr>
        <w:pStyle w:val="Default"/>
        <w:jc w:val="both"/>
      </w:pPr>
      <w:bookmarkStart w:id="0" w:name="_GoBack"/>
      <w:bookmarkEnd w:id="0"/>
    </w:p>
    <w:p w:rsidR="004D04CA" w:rsidRDefault="004D04CA" w:rsidP="004D04CA">
      <w:pPr>
        <w:rPr>
          <w:b/>
          <w:sz w:val="18"/>
          <w:szCs w:val="18"/>
        </w:rPr>
      </w:pPr>
      <w:r>
        <w:rPr>
          <w:b/>
          <w:sz w:val="18"/>
          <w:szCs w:val="18"/>
        </w:rPr>
        <w:t>THIS ANNOUNCEMENT IS NOT FOR PUBLICATION OR DISTRIBUTION (DIRECTLY OR INDIRECTLY) IN OR TO THE UNITED STATES, CANADA, AUSTRALIA OR JAPAN. THIS IS NOT AN OFFER OF SECURITIES FOR SALE IN OR INTO THE UNITED STATES, CANADA, AUSTRALIA OR JAPAN.</w:t>
      </w:r>
    </w:p>
    <w:p w:rsidR="004D04CA" w:rsidRDefault="004D04CA" w:rsidP="004D04CA">
      <w:pPr>
        <w:rPr>
          <w:b/>
          <w:i/>
          <w:sz w:val="18"/>
          <w:szCs w:val="18"/>
        </w:rPr>
      </w:pPr>
      <w:r>
        <w:rPr>
          <w:bCs/>
          <w:i/>
          <w:sz w:val="18"/>
          <w:szCs w:val="18"/>
          <w:lang w:val="en-US"/>
        </w:rPr>
        <w:t>This announcement is not an offer of securities for sale in the United States.  The securities to which this announcement relates have not been and will not be registered under the United States Securities Act of 1933, as amended (the “</w:t>
      </w:r>
      <w:r>
        <w:rPr>
          <w:b/>
          <w:bCs/>
          <w:i/>
          <w:sz w:val="18"/>
          <w:szCs w:val="18"/>
          <w:lang w:val="en-US"/>
        </w:rPr>
        <w:t>Securities Act</w:t>
      </w:r>
      <w:r>
        <w:rPr>
          <w:bCs/>
          <w:i/>
          <w:sz w:val="18"/>
          <w:szCs w:val="18"/>
          <w:lang w:val="en-US"/>
        </w:rPr>
        <w:t>”), and may not be offered or sold in the United States absent registration or an exemption from registration under the Securities Act.  There will not be a public offering of securities in the United States.</w:t>
      </w:r>
    </w:p>
    <w:p w:rsidR="00292A74" w:rsidRPr="00D41091" w:rsidRDefault="004D04CA" w:rsidP="00292A74">
      <w:pPr>
        <w:autoSpaceDE w:val="0"/>
        <w:autoSpaceDN w:val="0"/>
        <w:adjustRightInd w:val="0"/>
        <w:rPr>
          <w:rFonts w:asciiTheme="majorHAnsi" w:eastAsia="Arial" w:hAnsiTheme="majorHAnsi" w:cstheme="majorHAnsi"/>
        </w:rPr>
      </w:pPr>
      <w:r>
        <w:rPr>
          <w:b/>
          <w:i/>
          <w:sz w:val="18"/>
          <w:szCs w:val="18"/>
        </w:rPr>
        <w:t>THIS ANNOUNCEMENT IS AN ADVERTISEMENT</w:t>
      </w:r>
      <w:r>
        <w:rPr>
          <w:i/>
          <w:sz w:val="18"/>
          <w:szCs w:val="18"/>
        </w:rPr>
        <w:t xml:space="preserve"> for the purposes of Section 36k of Czech Act No. 256/2004 Coll., on conducting business in the capital markets, as amended (the “</w:t>
      </w:r>
      <w:r>
        <w:rPr>
          <w:b/>
          <w:i/>
          <w:sz w:val="18"/>
          <w:szCs w:val="18"/>
        </w:rPr>
        <w:t>Czech Capital Markets Act</w:t>
      </w:r>
      <w:r>
        <w:rPr>
          <w:i/>
          <w:sz w:val="18"/>
          <w:szCs w:val="18"/>
        </w:rPr>
        <w:t xml:space="preserve">”) and Article 15 of </w:t>
      </w:r>
      <w:r>
        <w:rPr>
          <w:rFonts w:cs="Arial"/>
          <w:i/>
          <w:sz w:val="18"/>
          <w:szCs w:val="18"/>
        </w:rPr>
        <w:t>EU Directive 2003/71/EC of 4 November 2003 regarding the prospectus to be published when securities are offered to the public or admitted to trading, as amended (the “</w:t>
      </w:r>
      <w:r>
        <w:rPr>
          <w:rFonts w:cs="Arial"/>
          <w:b/>
          <w:i/>
          <w:sz w:val="18"/>
          <w:szCs w:val="18"/>
        </w:rPr>
        <w:t>Prospectus Directive</w:t>
      </w:r>
      <w:r>
        <w:rPr>
          <w:rFonts w:cs="Arial"/>
          <w:i/>
          <w:sz w:val="18"/>
          <w:szCs w:val="18"/>
        </w:rPr>
        <w:t>”)</w:t>
      </w:r>
      <w:r>
        <w:rPr>
          <w:i/>
          <w:sz w:val="18"/>
          <w:szCs w:val="18"/>
        </w:rPr>
        <w:t xml:space="preserve">, and not an offer of securities for sale in any jurisdiction, including in or into or from </w:t>
      </w:r>
      <w:r>
        <w:rPr>
          <w:rFonts w:cs="Arial"/>
          <w:i/>
          <w:sz w:val="18"/>
          <w:szCs w:val="18"/>
        </w:rPr>
        <w:t>the United States</w:t>
      </w:r>
      <w:r>
        <w:rPr>
          <w:i/>
          <w:sz w:val="18"/>
          <w:szCs w:val="18"/>
        </w:rPr>
        <w:t>. Neither this announcement nor anything contained herein shall form the basis of, or be relied upon in connection with any listing, offer or commitment whatsoever in any jurisdiction. Investors should not subscribe for or purchase any securities referred to in this announcement except on the basis of information in the prospectus (the “</w:t>
      </w:r>
      <w:r>
        <w:rPr>
          <w:b/>
          <w:i/>
          <w:sz w:val="18"/>
          <w:szCs w:val="18"/>
        </w:rPr>
        <w:t>Prospectus</w:t>
      </w:r>
      <w:r>
        <w:rPr>
          <w:i/>
          <w:sz w:val="18"/>
          <w:szCs w:val="18"/>
        </w:rPr>
        <w:t>”) and the pricing supplement to the Prospectus (the “</w:t>
      </w:r>
      <w:r w:rsidRPr="00FC55F0">
        <w:rPr>
          <w:b/>
          <w:i/>
          <w:sz w:val="18"/>
          <w:szCs w:val="18"/>
        </w:rPr>
        <w:t>Pricing Supplement</w:t>
      </w:r>
      <w:r>
        <w:rPr>
          <w:i/>
          <w:sz w:val="18"/>
          <w:szCs w:val="18"/>
        </w:rPr>
        <w:t xml:space="preserve">”) published by MONETA Money Bank, </w:t>
      </w:r>
      <w:proofErr w:type="spellStart"/>
      <w:r>
        <w:rPr>
          <w:i/>
          <w:sz w:val="18"/>
          <w:szCs w:val="18"/>
        </w:rPr>
        <w:t>a.s</w:t>
      </w:r>
      <w:proofErr w:type="spellEnd"/>
      <w:r>
        <w:rPr>
          <w:i/>
          <w:sz w:val="18"/>
          <w:szCs w:val="18"/>
        </w:rPr>
        <w:t xml:space="preserve">. on webpage </w:t>
      </w:r>
      <w:r w:rsidRPr="00853655">
        <w:rPr>
          <w:i/>
          <w:color w:val="0000FF"/>
          <w:sz w:val="18"/>
          <w:szCs w:val="18"/>
          <w:u w:val="single"/>
        </w:rPr>
        <w:t>investors.monetabank.cz/</w:t>
      </w:r>
      <w:proofErr w:type="spellStart"/>
      <w:r w:rsidRPr="00853655">
        <w:rPr>
          <w:i/>
          <w:color w:val="0000FF"/>
          <w:sz w:val="18"/>
          <w:szCs w:val="18"/>
          <w:u w:val="single"/>
        </w:rPr>
        <w:t>ipo</w:t>
      </w:r>
      <w:proofErr w:type="spellEnd"/>
      <w:r w:rsidRPr="00853655">
        <w:rPr>
          <w:i/>
          <w:color w:val="0000FF"/>
          <w:sz w:val="18"/>
          <w:szCs w:val="18"/>
          <w:u w:val="single"/>
        </w:rPr>
        <w:t>-documents</w:t>
      </w:r>
      <w:r>
        <w:rPr>
          <w:i/>
          <w:sz w:val="18"/>
          <w:szCs w:val="18"/>
        </w:rPr>
        <w:t>, subject to applicable securities laws.</w:t>
      </w:r>
    </w:p>
    <w:p w:rsidR="00292A74" w:rsidRPr="00D41091" w:rsidRDefault="00292A74" w:rsidP="00292A74">
      <w:pPr>
        <w:pStyle w:val="Default"/>
        <w:jc w:val="center"/>
        <w:rPr>
          <w:b/>
          <w:bCs/>
          <w:sz w:val="20"/>
          <w:szCs w:val="20"/>
        </w:rPr>
      </w:pPr>
    </w:p>
    <w:p w:rsidR="00C91F41" w:rsidRPr="00D41091" w:rsidRDefault="00482036" w:rsidP="00C91F41">
      <w:pPr>
        <w:pStyle w:val="Default"/>
        <w:jc w:val="center"/>
        <w:rPr>
          <w:rFonts w:asciiTheme="minorHAnsi" w:hAnsiTheme="minorHAnsi" w:cstheme="minorHAnsi"/>
          <w:bCs/>
          <w:sz w:val="22"/>
          <w:szCs w:val="20"/>
        </w:rPr>
      </w:pPr>
      <w:r w:rsidRPr="00D41091">
        <w:rPr>
          <w:rFonts w:asciiTheme="minorHAnsi" w:hAnsiTheme="minorHAnsi" w:cstheme="minorHAnsi"/>
          <w:b/>
          <w:bCs/>
          <w:sz w:val="22"/>
          <w:szCs w:val="20"/>
        </w:rPr>
        <w:t xml:space="preserve">MONETA Money Bank, </w:t>
      </w:r>
      <w:proofErr w:type="spellStart"/>
      <w:r w:rsidRPr="00D41091">
        <w:rPr>
          <w:rFonts w:asciiTheme="minorHAnsi" w:hAnsiTheme="minorHAnsi" w:cstheme="minorHAnsi"/>
          <w:b/>
          <w:bCs/>
          <w:sz w:val="22"/>
          <w:szCs w:val="20"/>
        </w:rPr>
        <w:t>a.s</w:t>
      </w:r>
      <w:proofErr w:type="spellEnd"/>
      <w:r w:rsidRPr="00D41091">
        <w:rPr>
          <w:rFonts w:asciiTheme="minorHAnsi" w:hAnsiTheme="minorHAnsi" w:cstheme="minorHAnsi"/>
          <w:b/>
          <w:bCs/>
          <w:sz w:val="22"/>
          <w:szCs w:val="20"/>
        </w:rPr>
        <w:t>.</w:t>
      </w:r>
    </w:p>
    <w:p w:rsidR="00C91F41" w:rsidRPr="00D41091" w:rsidRDefault="00C91F41" w:rsidP="00C91F41">
      <w:pPr>
        <w:pStyle w:val="Default"/>
        <w:jc w:val="center"/>
        <w:rPr>
          <w:rFonts w:asciiTheme="minorHAnsi" w:hAnsiTheme="minorHAnsi" w:cstheme="minorHAnsi"/>
          <w:sz w:val="22"/>
          <w:szCs w:val="20"/>
        </w:rPr>
      </w:pPr>
    </w:p>
    <w:p w:rsidR="00C91F41" w:rsidRPr="00D41091" w:rsidRDefault="00C91F41" w:rsidP="00C91F41">
      <w:pPr>
        <w:pStyle w:val="Default"/>
        <w:jc w:val="center"/>
        <w:rPr>
          <w:rFonts w:asciiTheme="minorHAnsi" w:hAnsiTheme="minorHAnsi" w:cstheme="minorHAnsi"/>
          <w:b/>
          <w:bCs/>
          <w:sz w:val="22"/>
          <w:szCs w:val="20"/>
        </w:rPr>
      </w:pPr>
      <w:r w:rsidRPr="00D41091">
        <w:rPr>
          <w:rFonts w:asciiTheme="minorHAnsi" w:hAnsiTheme="minorHAnsi" w:cstheme="minorHAnsi"/>
          <w:b/>
          <w:bCs/>
          <w:sz w:val="22"/>
          <w:szCs w:val="20"/>
        </w:rPr>
        <w:t>Stabilisation Notice</w:t>
      </w:r>
    </w:p>
    <w:p w:rsidR="00C91F41" w:rsidRPr="00D41091" w:rsidRDefault="00C91F41" w:rsidP="00C91F41">
      <w:pPr>
        <w:pStyle w:val="Default"/>
        <w:jc w:val="center"/>
        <w:rPr>
          <w:sz w:val="20"/>
          <w:szCs w:val="20"/>
        </w:rPr>
      </w:pPr>
    </w:p>
    <w:p w:rsidR="00C91F41" w:rsidRPr="00D41091" w:rsidRDefault="00837E81" w:rsidP="00C91F41">
      <w:pPr>
        <w:pStyle w:val="Default"/>
        <w:rPr>
          <w:rFonts w:asciiTheme="majorHAnsi" w:hAnsiTheme="majorHAnsi" w:cstheme="majorHAnsi"/>
          <w:sz w:val="22"/>
          <w:szCs w:val="22"/>
        </w:rPr>
      </w:pPr>
      <w:r w:rsidRPr="00D41091">
        <w:rPr>
          <w:rFonts w:asciiTheme="majorHAnsi" w:hAnsiTheme="majorHAnsi" w:cstheme="majorHAnsi"/>
          <w:sz w:val="22"/>
          <w:szCs w:val="22"/>
        </w:rPr>
        <w:t>6 May</w:t>
      </w:r>
      <w:r w:rsidR="009F4D2C" w:rsidRPr="00D41091">
        <w:rPr>
          <w:rFonts w:asciiTheme="majorHAnsi" w:hAnsiTheme="majorHAnsi" w:cstheme="majorHAnsi"/>
          <w:sz w:val="22"/>
          <w:szCs w:val="22"/>
        </w:rPr>
        <w:t xml:space="preserve"> 2016</w:t>
      </w:r>
    </w:p>
    <w:p w:rsidR="00C91F41" w:rsidRPr="00D41091" w:rsidRDefault="00C91F41" w:rsidP="00C91F41">
      <w:pPr>
        <w:pStyle w:val="Default"/>
        <w:rPr>
          <w:rFonts w:asciiTheme="majorHAnsi" w:hAnsiTheme="majorHAnsi" w:cstheme="majorHAnsi"/>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4515"/>
        <w:gridCol w:w="4515"/>
      </w:tblGrid>
      <w:tr w:rsidR="00C91F41" w:rsidRPr="00D41091">
        <w:trPr>
          <w:trHeight w:val="87"/>
        </w:trPr>
        <w:tc>
          <w:tcPr>
            <w:tcW w:w="9030" w:type="dxa"/>
            <w:gridSpan w:val="2"/>
          </w:tcPr>
          <w:p w:rsidR="00C91F41" w:rsidRPr="00D41091" w:rsidRDefault="00C91F41" w:rsidP="00C91F41">
            <w:pPr>
              <w:pStyle w:val="Default"/>
              <w:jc w:val="both"/>
              <w:rPr>
                <w:rFonts w:asciiTheme="majorHAnsi" w:hAnsiTheme="majorHAnsi" w:cstheme="majorHAnsi"/>
                <w:sz w:val="22"/>
                <w:szCs w:val="22"/>
              </w:rPr>
            </w:pPr>
            <w:r w:rsidRPr="00D41091">
              <w:rPr>
                <w:rFonts w:asciiTheme="majorHAnsi" w:hAnsiTheme="majorHAnsi" w:cstheme="majorHAnsi"/>
                <w:sz w:val="22"/>
                <w:szCs w:val="22"/>
              </w:rPr>
              <w:t xml:space="preserve">J.P. Morgan </w:t>
            </w:r>
            <w:r w:rsidR="009F4D2C" w:rsidRPr="00D41091">
              <w:rPr>
                <w:rFonts w:asciiTheme="majorHAnsi" w:hAnsiTheme="majorHAnsi" w:cstheme="majorHAnsi"/>
                <w:sz w:val="22"/>
                <w:szCs w:val="22"/>
              </w:rPr>
              <w:t>Securities plc (C</w:t>
            </w:r>
            <w:r w:rsidRPr="00D41091">
              <w:rPr>
                <w:rFonts w:asciiTheme="majorHAnsi" w:hAnsiTheme="majorHAnsi" w:cstheme="majorHAnsi"/>
                <w:sz w:val="22"/>
                <w:szCs w:val="22"/>
              </w:rPr>
              <w:t xml:space="preserve">ontact: </w:t>
            </w:r>
            <w:r w:rsidR="00CA6276">
              <w:rPr>
                <w:rFonts w:asciiTheme="majorHAnsi" w:hAnsiTheme="majorHAnsi" w:cstheme="majorHAnsi"/>
                <w:sz w:val="22"/>
                <w:szCs w:val="22"/>
              </w:rPr>
              <w:t>Paul Mihailovitch</w:t>
            </w:r>
            <w:r w:rsidR="009F4D2C" w:rsidRPr="00D41091">
              <w:rPr>
                <w:rFonts w:asciiTheme="majorHAnsi" w:hAnsiTheme="majorHAnsi" w:cstheme="majorHAnsi"/>
                <w:sz w:val="22"/>
                <w:szCs w:val="22"/>
              </w:rPr>
              <w:t>; T</w:t>
            </w:r>
            <w:r w:rsidRPr="00D41091">
              <w:rPr>
                <w:rFonts w:asciiTheme="majorHAnsi" w:hAnsiTheme="majorHAnsi" w:cstheme="majorHAnsi"/>
                <w:sz w:val="22"/>
                <w:szCs w:val="22"/>
              </w:rPr>
              <w:t xml:space="preserve">elephone: </w:t>
            </w:r>
            <w:r w:rsidR="00CA6276" w:rsidRPr="00CA6276">
              <w:rPr>
                <w:rFonts w:asciiTheme="majorHAnsi" w:hAnsiTheme="majorHAnsi" w:cstheme="majorHAnsi"/>
                <w:sz w:val="22"/>
                <w:szCs w:val="22"/>
              </w:rPr>
              <w:t>+44 207 1343356</w:t>
            </w:r>
            <w:r w:rsidR="00CA6276" w:rsidRPr="00CA6276" w:rsidDel="00CA6276">
              <w:rPr>
                <w:rFonts w:asciiTheme="majorHAnsi" w:hAnsiTheme="majorHAnsi" w:cstheme="majorHAnsi"/>
                <w:sz w:val="22"/>
                <w:szCs w:val="22"/>
              </w:rPr>
              <w:t xml:space="preserve"> </w:t>
            </w:r>
            <w:r w:rsidRPr="00D41091">
              <w:rPr>
                <w:rFonts w:asciiTheme="majorHAnsi" w:hAnsiTheme="majorHAnsi" w:cstheme="majorHAnsi"/>
                <w:sz w:val="22"/>
                <w:szCs w:val="22"/>
              </w:rPr>
              <w:t xml:space="preserve">) hereby gives notice that it may stabilise the offer of the following securities in accordance with Commission Regulation (EC) No. 2273/2003 implementing the Market Abuse Directive (2003/6/EC). </w:t>
            </w:r>
          </w:p>
          <w:p w:rsidR="00C91F41" w:rsidRPr="00D41091" w:rsidRDefault="00C91F41">
            <w:pPr>
              <w:pStyle w:val="Default"/>
              <w:rPr>
                <w:rFonts w:asciiTheme="majorHAnsi" w:hAnsiTheme="majorHAnsi" w:cstheme="majorHAnsi"/>
                <w:sz w:val="22"/>
                <w:szCs w:val="22"/>
              </w:rPr>
            </w:pPr>
          </w:p>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b/>
                <w:bCs/>
                <w:sz w:val="22"/>
                <w:szCs w:val="22"/>
              </w:rPr>
              <w:t xml:space="preserve">The securities: </w:t>
            </w:r>
          </w:p>
        </w:tc>
      </w:tr>
      <w:tr w:rsidR="00C91F41" w:rsidRPr="00D41091">
        <w:trPr>
          <w:trHeight w:val="87"/>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Issuer: </w:t>
            </w:r>
          </w:p>
          <w:p w:rsidR="00C91F41" w:rsidRPr="00D41091" w:rsidRDefault="00C91F41">
            <w:pPr>
              <w:pStyle w:val="Default"/>
              <w:rPr>
                <w:rFonts w:asciiTheme="majorHAnsi" w:hAnsiTheme="majorHAnsi" w:cstheme="majorHAnsi"/>
                <w:sz w:val="22"/>
                <w:szCs w:val="22"/>
              </w:rPr>
            </w:pPr>
          </w:p>
        </w:tc>
        <w:tc>
          <w:tcPr>
            <w:tcW w:w="4515" w:type="dxa"/>
          </w:tcPr>
          <w:p w:rsidR="00C91F41" w:rsidRPr="00D41091" w:rsidRDefault="00EE3A2C">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MONETA Money Bank, </w:t>
            </w:r>
            <w:proofErr w:type="spellStart"/>
            <w:r w:rsidRPr="00D41091">
              <w:rPr>
                <w:rFonts w:asciiTheme="majorHAnsi" w:hAnsiTheme="majorHAnsi" w:cstheme="majorHAnsi"/>
                <w:sz w:val="22"/>
                <w:szCs w:val="22"/>
              </w:rPr>
              <w:t>a.s</w:t>
            </w:r>
            <w:proofErr w:type="spellEnd"/>
            <w:r w:rsidRPr="00D41091">
              <w:rPr>
                <w:rFonts w:asciiTheme="majorHAnsi" w:hAnsiTheme="majorHAnsi" w:cstheme="majorHAnsi"/>
                <w:sz w:val="22"/>
                <w:szCs w:val="22"/>
              </w:rPr>
              <w:t>.</w:t>
            </w:r>
          </w:p>
        </w:tc>
      </w:tr>
      <w:tr w:rsidR="00C91F41" w:rsidRPr="00D41091">
        <w:trPr>
          <w:trHeight w:val="87"/>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Shares: </w:t>
            </w:r>
          </w:p>
        </w:tc>
        <w:tc>
          <w:tcPr>
            <w:tcW w:w="4515" w:type="dxa"/>
          </w:tcPr>
          <w:p w:rsidR="00C91F41" w:rsidRPr="00D41091" w:rsidRDefault="00C91F41" w:rsidP="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Common Stock </w:t>
            </w:r>
            <w:r w:rsidR="00EE3A2C" w:rsidRPr="00D41091">
              <w:rPr>
                <w:rFonts w:asciiTheme="majorHAnsi" w:hAnsiTheme="majorHAnsi" w:cstheme="majorHAnsi"/>
                <w:sz w:val="22"/>
                <w:szCs w:val="22"/>
              </w:rPr>
              <w:t xml:space="preserve">of MONETA Money Bank, </w:t>
            </w:r>
            <w:proofErr w:type="spellStart"/>
            <w:r w:rsidR="00EE3A2C" w:rsidRPr="00D41091">
              <w:rPr>
                <w:rFonts w:asciiTheme="majorHAnsi" w:hAnsiTheme="majorHAnsi" w:cstheme="majorHAnsi"/>
                <w:sz w:val="22"/>
                <w:szCs w:val="22"/>
              </w:rPr>
              <w:t>a.s</w:t>
            </w:r>
            <w:proofErr w:type="spellEnd"/>
            <w:r w:rsidR="00EE3A2C" w:rsidRPr="00D41091">
              <w:rPr>
                <w:rFonts w:asciiTheme="majorHAnsi" w:hAnsiTheme="majorHAnsi" w:cstheme="majorHAnsi"/>
                <w:sz w:val="22"/>
                <w:szCs w:val="22"/>
              </w:rPr>
              <w:t xml:space="preserve">. (ISIN: </w:t>
            </w:r>
            <w:r w:rsidR="00EE3A2C" w:rsidRPr="00D41091">
              <w:rPr>
                <w:rFonts w:ascii="Helvetica" w:hAnsi="Helvetica" w:cs="Helvetica"/>
                <w:sz w:val="20"/>
                <w:szCs w:val="20"/>
              </w:rPr>
              <w:t>CZ0008040318</w:t>
            </w:r>
            <w:r w:rsidRPr="00D41091">
              <w:rPr>
                <w:rFonts w:asciiTheme="majorHAnsi" w:hAnsiTheme="majorHAnsi" w:cstheme="majorHAnsi"/>
                <w:sz w:val="22"/>
                <w:szCs w:val="22"/>
              </w:rPr>
              <w:t xml:space="preserve">) </w:t>
            </w:r>
          </w:p>
          <w:p w:rsidR="00C91F41" w:rsidRPr="00D41091" w:rsidRDefault="00C91F41" w:rsidP="00C91F41">
            <w:pPr>
              <w:pStyle w:val="Default"/>
              <w:rPr>
                <w:rFonts w:asciiTheme="majorHAnsi" w:hAnsiTheme="majorHAnsi" w:cstheme="majorHAnsi"/>
                <w:sz w:val="22"/>
                <w:szCs w:val="22"/>
              </w:rPr>
            </w:pPr>
          </w:p>
        </w:tc>
      </w:tr>
      <w:tr w:rsidR="00C91F41" w:rsidRPr="00D41091">
        <w:trPr>
          <w:trHeight w:val="87"/>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Offering size: </w:t>
            </w:r>
          </w:p>
          <w:p w:rsidR="00C91F41" w:rsidRPr="00D41091" w:rsidRDefault="00C91F41">
            <w:pPr>
              <w:pStyle w:val="Default"/>
              <w:rPr>
                <w:rFonts w:asciiTheme="majorHAnsi" w:hAnsiTheme="majorHAnsi" w:cstheme="majorHAnsi"/>
                <w:sz w:val="22"/>
                <w:szCs w:val="22"/>
              </w:rPr>
            </w:pPr>
          </w:p>
        </w:tc>
        <w:tc>
          <w:tcPr>
            <w:tcW w:w="4515" w:type="dxa"/>
          </w:tcPr>
          <w:p w:rsidR="00C91F41" w:rsidRPr="00D41091" w:rsidRDefault="008201B0">
            <w:pPr>
              <w:pStyle w:val="Default"/>
              <w:rPr>
                <w:rFonts w:asciiTheme="majorHAnsi" w:hAnsiTheme="majorHAnsi" w:cstheme="majorHAnsi"/>
                <w:sz w:val="22"/>
                <w:szCs w:val="22"/>
              </w:rPr>
            </w:pPr>
            <w:r w:rsidRPr="00D41091">
              <w:rPr>
                <w:rFonts w:asciiTheme="majorHAnsi" w:hAnsiTheme="majorHAnsi" w:cstheme="majorHAnsi"/>
                <w:sz w:val="22"/>
                <w:szCs w:val="22"/>
              </w:rPr>
              <w:t>260,610,000</w:t>
            </w:r>
            <w:r w:rsidR="00C91F41" w:rsidRPr="00D41091">
              <w:rPr>
                <w:rFonts w:asciiTheme="majorHAnsi" w:hAnsiTheme="majorHAnsi" w:cstheme="majorHAnsi"/>
                <w:sz w:val="22"/>
                <w:szCs w:val="22"/>
              </w:rPr>
              <w:t xml:space="preserve"> </w:t>
            </w:r>
            <w:r w:rsidRPr="00D41091">
              <w:rPr>
                <w:rFonts w:asciiTheme="majorHAnsi" w:hAnsiTheme="majorHAnsi" w:cstheme="majorHAnsi"/>
                <w:sz w:val="22"/>
                <w:szCs w:val="22"/>
              </w:rPr>
              <w:t xml:space="preserve">ordinary shares </w:t>
            </w:r>
            <w:r w:rsidR="009F4D2C" w:rsidRPr="00D41091">
              <w:rPr>
                <w:rFonts w:asciiTheme="majorHAnsi" w:hAnsiTheme="majorHAnsi" w:cstheme="majorHAnsi"/>
                <w:sz w:val="22"/>
                <w:szCs w:val="22"/>
              </w:rPr>
              <w:t>(excluding the Over-allotment Option)</w:t>
            </w:r>
          </w:p>
          <w:p w:rsidR="009F4D2C" w:rsidRPr="00D41091" w:rsidRDefault="009F4D2C">
            <w:pPr>
              <w:pStyle w:val="Default"/>
              <w:rPr>
                <w:rFonts w:asciiTheme="majorHAnsi" w:hAnsiTheme="majorHAnsi" w:cstheme="majorHAnsi"/>
                <w:sz w:val="22"/>
                <w:szCs w:val="22"/>
              </w:rPr>
            </w:pPr>
          </w:p>
        </w:tc>
      </w:tr>
      <w:tr w:rsidR="00C91F41" w:rsidRPr="00D41091">
        <w:trPr>
          <w:trHeight w:val="87"/>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Offer price: </w:t>
            </w:r>
          </w:p>
          <w:p w:rsidR="00C91F41" w:rsidRPr="00D41091" w:rsidRDefault="00C91F41">
            <w:pPr>
              <w:pStyle w:val="Default"/>
              <w:rPr>
                <w:rFonts w:asciiTheme="majorHAnsi" w:hAnsiTheme="majorHAnsi" w:cstheme="majorHAnsi"/>
                <w:sz w:val="22"/>
                <w:szCs w:val="22"/>
              </w:rPr>
            </w:pPr>
          </w:p>
        </w:tc>
        <w:tc>
          <w:tcPr>
            <w:tcW w:w="4515" w:type="dxa"/>
          </w:tcPr>
          <w:p w:rsidR="009F4D2C" w:rsidRPr="00D41091" w:rsidRDefault="00D41091" w:rsidP="008201B0">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68 </w:t>
            </w:r>
            <w:r w:rsidR="008201B0" w:rsidRPr="00D41091">
              <w:rPr>
                <w:rFonts w:asciiTheme="majorHAnsi" w:hAnsiTheme="majorHAnsi" w:cstheme="majorHAnsi"/>
                <w:sz w:val="22"/>
                <w:szCs w:val="22"/>
              </w:rPr>
              <w:t>CZK</w:t>
            </w:r>
            <w:r w:rsidR="00C91F41" w:rsidRPr="00D41091">
              <w:rPr>
                <w:rFonts w:asciiTheme="majorHAnsi" w:hAnsiTheme="majorHAnsi" w:cstheme="majorHAnsi"/>
                <w:sz w:val="22"/>
                <w:szCs w:val="22"/>
              </w:rPr>
              <w:t xml:space="preserve"> per share </w:t>
            </w:r>
          </w:p>
        </w:tc>
      </w:tr>
      <w:tr w:rsidR="009F4D2C" w:rsidRPr="00D41091">
        <w:trPr>
          <w:trHeight w:val="87"/>
        </w:trPr>
        <w:tc>
          <w:tcPr>
            <w:tcW w:w="4515" w:type="dxa"/>
          </w:tcPr>
          <w:p w:rsidR="009F4D2C" w:rsidRPr="00D41091" w:rsidRDefault="009F4D2C">
            <w:pPr>
              <w:pStyle w:val="Default"/>
              <w:rPr>
                <w:rFonts w:asciiTheme="majorHAnsi" w:hAnsiTheme="majorHAnsi" w:cstheme="majorHAnsi"/>
                <w:sz w:val="22"/>
                <w:szCs w:val="22"/>
              </w:rPr>
            </w:pPr>
            <w:r w:rsidRPr="00D41091">
              <w:rPr>
                <w:rFonts w:asciiTheme="majorHAnsi" w:hAnsiTheme="majorHAnsi" w:cstheme="majorHAnsi"/>
                <w:sz w:val="22"/>
                <w:szCs w:val="22"/>
              </w:rPr>
              <w:t>Associated Securities:</w:t>
            </w:r>
          </w:p>
          <w:p w:rsidR="009F4D2C" w:rsidRPr="00D41091" w:rsidRDefault="009F4D2C">
            <w:pPr>
              <w:pStyle w:val="Default"/>
              <w:rPr>
                <w:rFonts w:asciiTheme="majorHAnsi" w:hAnsiTheme="majorHAnsi" w:cstheme="majorHAnsi"/>
                <w:sz w:val="22"/>
                <w:szCs w:val="22"/>
              </w:rPr>
            </w:pPr>
          </w:p>
        </w:tc>
        <w:tc>
          <w:tcPr>
            <w:tcW w:w="4515" w:type="dxa"/>
          </w:tcPr>
          <w:p w:rsidR="009F4D2C" w:rsidRPr="00D41091" w:rsidRDefault="009F4D2C" w:rsidP="00C91F41">
            <w:pPr>
              <w:pStyle w:val="Default"/>
              <w:rPr>
                <w:rFonts w:asciiTheme="majorHAnsi" w:hAnsiTheme="majorHAnsi" w:cstheme="majorHAnsi"/>
                <w:sz w:val="22"/>
                <w:szCs w:val="22"/>
              </w:rPr>
            </w:pPr>
            <w:r w:rsidRPr="00D41091">
              <w:rPr>
                <w:rFonts w:asciiTheme="majorHAnsi" w:hAnsiTheme="majorHAnsi" w:cstheme="majorHAnsi"/>
                <w:sz w:val="22"/>
                <w:szCs w:val="22"/>
              </w:rPr>
              <w:t>The securities being used for stabilisation will be represented in the form of depositary interests.</w:t>
            </w:r>
          </w:p>
        </w:tc>
      </w:tr>
      <w:tr w:rsidR="00C91F41" w:rsidRPr="00D41091">
        <w:trPr>
          <w:trHeight w:val="87"/>
        </w:trPr>
        <w:tc>
          <w:tcPr>
            <w:tcW w:w="9030" w:type="dxa"/>
            <w:gridSpan w:val="2"/>
          </w:tcPr>
          <w:p w:rsidR="00C91F41" w:rsidRPr="00D41091" w:rsidRDefault="00C91F41">
            <w:pPr>
              <w:pStyle w:val="Default"/>
              <w:rPr>
                <w:rFonts w:asciiTheme="majorHAnsi" w:hAnsiTheme="majorHAnsi" w:cstheme="majorHAnsi"/>
                <w:b/>
                <w:bCs/>
                <w:sz w:val="22"/>
                <w:szCs w:val="22"/>
              </w:rPr>
            </w:pPr>
            <w:r w:rsidRPr="00D41091">
              <w:rPr>
                <w:rFonts w:asciiTheme="majorHAnsi" w:hAnsiTheme="majorHAnsi" w:cstheme="majorHAnsi"/>
                <w:b/>
                <w:bCs/>
                <w:sz w:val="22"/>
                <w:szCs w:val="22"/>
              </w:rPr>
              <w:t xml:space="preserve">Stabilisation: </w:t>
            </w:r>
          </w:p>
          <w:p w:rsidR="00C91F41" w:rsidRPr="00D41091" w:rsidRDefault="00C91F41">
            <w:pPr>
              <w:pStyle w:val="Default"/>
              <w:rPr>
                <w:rFonts w:asciiTheme="majorHAnsi" w:hAnsiTheme="majorHAnsi" w:cstheme="majorHAnsi"/>
                <w:sz w:val="22"/>
                <w:szCs w:val="22"/>
              </w:rPr>
            </w:pPr>
          </w:p>
        </w:tc>
      </w:tr>
      <w:tr w:rsidR="00C91F41" w:rsidRPr="00D41091">
        <w:trPr>
          <w:trHeight w:val="87"/>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Stabilising Manager: </w:t>
            </w:r>
          </w:p>
          <w:p w:rsidR="00C91F41" w:rsidRPr="00D41091" w:rsidRDefault="00C91F41">
            <w:pPr>
              <w:pStyle w:val="Default"/>
              <w:rPr>
                <w:rFonts w:asciiTheme="majorHAnsi" w:hAnsiTheme="majorHAnsi" w:cstheme="majorHAnsi"/>
                <w:sz w:val="22"/>
                <w:szCs w:val="22"/>
              </w:rPr>
            </w:pPr>
          </w:p>
        </w:tc>
        <w:tc>
          <w:tcPr>
            <w:tcW w:w="4515" w:type="dxa"/>
          </w:tcPr>
          <w:p w:rsidR="00C91F41" w:rsidRPr="00D41091" w:rsidRDefault="00C91F41" w:rsidP="009F4D2C">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J.P. Morgan </w:t>
            </w:r>
            <w:r w:rsidR="009F4D2C" w:rsidRPr="00D41091">
              <w:rPr>
                <w:rFonts w:asciiTheme="majorHAnsi" w:hAnsiTheme="majorHAnsi" w:cstheme="majorHAnsi"/>
                <w:sz w:val="22"/>
                <w:szCs w:val="22"/>
              </w:rPr>
              <w:t>Securities plc</w:t>
            </w:r>
            <w:r w:rsidRPr="00D41091">
              <w:rPr>
                <w:rFonts w:asciiTheme="majorHAnsi" w:hAnsiTheme="majorHAnsi" w:cstheme="majorHAnsi"/>
                <w:sz w:val="22"/>
                <w:szCs w:val="22"/>
              </w:rPr>
              <w:t xml:space="preserve"> </w:t>
            </w:r>
          </w:p>
        </w:tc>
      </w:tr>
      <w:tr w:rsidR="00C91F41" w:rsidRPr="00D41091">
        <w:trPr>
          <w:trHeight w:val="208"/>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Stabilisation period expected to start on: </w:t>
            </w:r>
          </w:p>
          <w:p w:rsidR="00C91F41" w:rsidRPr="00D41091" w:rsidRDefault="00C91F41">
            <w:pPr>
              <w:pStyle w:val="Default"/>
              <w:rPr>
                <w:rFonts w:asciiTheme="majorHAnsi" w:hAnsiTheme="majorHAnsi" w:cstheme="majorHAnsi"/>
                <w:sz w:val="22"/>
                <w:szCs w:val="22"/>
              </w:rPr>
            </w:pPr>
          </w:p>
        </w:tc>
        <w:tc>
          <w:tcPr>
            <w:tcW w:w="4515" w:type="dxa"/>
          </w:tcPr>
          <w:p w:rsidR="00C91F41" w:rsidRPr="00D41091" w:rsidRDefault="00837E81" w:rsidP="00C91F41">
            <w:pPr>
              <w:pStyle w:val="Default"/>
              <w:rPr>
                <w:rFonts w:asciiTheme="majorHAnsi" w:hAnsiTheme="majorHAnsi" w:cstheme="majorHAnsi"/>
                <w:sz w:val="22"/>
                <w:szCs w:val="22"/>
              </w:rPr>
            </w:pPr>
            <w:r w:rsidRPr="00D41091">
              <w:rPr>
                <w:rFonts w:asciiTheme="majorHAnsi" w:hAnsiTheme="majorHAnsi" w:cstheme="majorHAnsi"/>
                <w:sz w:val="22"/>
                <w:szCs w:val="22"/>
              </w:rPr>
              <w:t>6 May</w:t>
            </w:r>
            <w:r w:rsidR="00C91F41" w:rsidRPr="00D41091">
              <w:rPr>
                <w:rFonts w:asciiTheme="majorHAnsi" w:hAnsiTheme="majorHAnsi" w:cstheme="majorHAnsi"/>
                <w:sz w:val="22"/>
                <w:szCs w:val="22"/>
              </w:rPr>
              <w:t xml:space="preserve"> </w:t>
            </w:r>
            <w:r w:rsidR="009F4D2C" w:rsidRPr="00D41091">
              <w:rPr>
                <w:rFonts w:asciiTheme="majorHAnsi" w:hAnsiTheme="majorHAnsi" w:cstheme="majorHAnsi"/>
                <w:sz w:val="22"/>
                <w:szCs w:val="22"/>
              </w:rPr>
              <w:t>2016 (approximately 8.00 a.m.)</w:t>
            </w:r>
          </w:p>
        </w:tc>
      </w:tr>
      <w:tr w:rsidR="00C91F41" w:rsidRPr="00D41091">
        <w:trPr>
          <w:trHeight w:val="328"/>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Stabilisation period expected to end no later than: </w:t>
            </w:r>
          </w:p>
          <w:p w:rsidR="00C91F41" w:rsidRPr="00D41091" w:rsidRDefault="00C91F41">
            <w:pPr>
              <w:pStyle w:val="Default"/>
              <w:rPr>
                <w:rFonts w:asciiTheme="majorHAnsi" w:hAnsiTheme="majorHAnsi" w:cstheme="majorHAnsi"/>
                <w:sz w:val="22"/>
                <w:szCs w:val="22"/>
              </w:rPr>
            </w:pPr>
          </w:p>
        </w:tc>
        <w:tc>
          <w:tcPr>
            <w:tcW w:w="4515" w:type="dxa"/>
          </w:tcPr>
          <w:p w:rsidR="00C91F41" w:rsidRPr="00D41091" w:rsidRDefault="00981BB8" w:rsidP="00981BB8">
            <w:pPr>
              <w:pStyle w:val="Default"/>
              <w:rPr>
                <w:rFonts w:asciiTheme="majorHAnsi" w:hAnsiTheme="majorHAnsi" w:cstheme="majorHAnsi"/>
                <w:sz w:val="22"/>
                <w:szCs w:val="22"/>
              </w:rPr>
            </w:pPr>
            <w:r>
              <w:rPr>
                <w:rFonts w:asciiTheme="majorHAnsi" w:hAnsiTheme="majorHAnsi" w:cstheme="majorHAnsi"/>
                <w:sz w:val="22"/>
                <w:szCs w:val="22"/>
              </w:rPr>
              <w:t>4</w:t>
            </w:r>
            <w:r w:rsidRPr="00D41091">
              <w:rPr>
                <w:rFonts w:asciiTheme="majorHAnsi" w:hAnsiTheme="majorHAnsi" w:cstheme="majorHAnsi"/>
                <w:sz w:val="22"/>
                <w:szCs w:val="22"/>
              </w:rPr>
              <w:t xml:space="preserve"> </w:t>
            </w:r>
            <w:r w:rsidR="00837E81" w:rsidRPr="00D41091">
              <w:rPr>
                <w:rFonts w:asciiTheme="majorHAnsi" w:hAnsiTheme="majorHAnsi" w:cstheme="majorHAnsi"/>
                <w:sz w:val="22"/>
                <w:szCs w:val="22"/>
              </w:rPr>
              <w:t>June</w:t>
            </w:r>
            <w:r w:rsidR="00C91F41" w:rsidRPr="00D41091">
              <w:rPr>
                <w:rFonts w:asciiTheme="majorHAnsi" w:hAnsiTheme="majorHAnsi" w:cstheme="majorHAnsi"/>
                <w:sz w:val="22"/>
                <w:szCs w:val="22"/>
              </w:rPr>
              <w:t xml:space="preserve"> </w:t>
            </w:r>
            <w:r w:rsidR="009F4D2C" w:rsidRPr="00D41091">
              <w:rPr>
                <w:rFonts w:asciiTheme="majorHAnsi" w:hAnsiTheme="majorHAnsi" w:cstheme="majorHAnsi"/>
                <w:sz w:val="22"/>
                <w:szCs w:val="22"/>
              </w:rPr>
              <w:t>2016 (close of business)</w:t>
            </w:r>
          </w:p>
        </w:tc>
      </w:tr>
      <w:tr w:rsidR="00C91F41" w:rsidRPr="00D41091">
        <w:trPr>
          <w:trHeight w:val="207"/>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Maximum size </w:t>
            </w:r>
            <w:r w:rsidR="009F4D2C" w:rsidRPr="00D41091">
              <w:rPr>
                <w:rFonts w:asciiTheme="majorHAnsi" w:hAnsiTheme="majorHAnsi" w:cstheme="majorHAnsi"/>
                <w:sz w:val="22"/>
                <w:szCs w:val="22"/>
              </w:rPr>
              <w:t xml:space="preserve">and conditions </w:t>
            </w:r>
            <w:r w:rsidRPr="00D41091">
              <w:rPr>
                <w:rFonts w:asciiTheme="majorHAnsi" w:hAnsiTheme="majorHAnsi" w:cstheme="majorHAnsi"/>
                <w:sz w:val="22"/>
                <w:szCs w:val="22"/>
              </w:rPr>
              <w:t xml:space="preserve">of over-allotment facility: </w:t>
            </w:r>
          </w:p>
        </w:tc>
        <w:tc>
          <w:tcPr>
            <w:tcW w:w="4515" w:type="dxa"/>
          </w:tcPr>
          <w:p w:rsidR="00C91F41" w:rsidRPr="00D41091" w:rsidRDefault="009F4D2C" w:rsidP="008B60C0">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The Stabilising Manager may over-allot the </w:t>
            </w:r>
            <w:r w:rsidR="008B60C0" w:rsidRPr="00D41091">
              <w:rPr>
                <w:rFonts w:asciiTheme="majorHAnsi" w:hAnsiTheme="majorHAnsi" w:cstheme="majorHAnsi"/>
                <w:sz w:val="22"/>
                <w:szCs w:val="22"/>
              </w:rPr>
              <w:t>s</w:t>
            </w:r>
            <w:r w:rsidRPr="00D41091">
              <w:rPr>
                <w:rFonts w:asciiTheme="majorHAnsi" w:hAnsiTheme="majorHAnsi" w:cstheme="majorHAnsi"/>
                <w:sz w:val="22"/>
                <w:szCs w:val="22"/>
              </w:rPr>
              <w:t xml:space="preserve">ecurities to the extent permitted in accordance with the applicable law, up to the maximum size of </w:t>
            </w:r>
            <w:r w:rsidR="008201B0" w:rsidRPr="00D41091">
              <w:rPr>
                <w:rFonts w:asciiTheme="majorHAnsi" w:hAnsiTheme="majorHAnsi" w:cstheme="majorHAnsi"/>
                <w:sz w:val="22"/>
                <w:szCs w:val="22"/>
              </w:rPr>
              <w:t>39,091,500</w:t>
            </w:r>
            <w:r w:rsidR="00C91F41" w:rsidRPr="00D41091">
              <w:rPr>
                <w:rFonts w:asciiTheme="majorHAnsi" w:hAnsiTheme="majorHAnsi" w:cstheme="majorHAnsi"/>
                <w:sz w:val="22"/>
                <w:szCs w:val="22"/>
              </w:rPr>
              <w:t xml:space="preserve"> shares</w:t>
            </w:r>
            <w:r w:rsidRPr="00D41091">
              <w:rPr>
                <w:rFonts w:asciiTheme="majorHAnsi" w:hAnsiTheme="majorHAnsi" w:cstheme="majorHAnsi"/>
                <w:sz w:val="22"/>
                <w:szCs w:val="22"/>
              </w:rPr>
              <w:t>.</w:t>
            </w:r>
          </w:p>
        </w:tc>
      </w:tr>
      <w:tr w:rsidR="00C91F41" w:rsidRPr="00D41091">
        <w:trPr>
          <w:trHeight w:val="87"/>
        </w:trPr>
        <w:tc>
          <w:tcPr>
            <w:tcW w:w="9030" w:type="dxa"/>
            <w:gridSpan w:val="2"/>
          </w:tcPr>
          <w:p w:rsidR="00C91F41" w:rsidRPr="00D41091" w:rsidRDefault="00C91F41">
            <w:pPr>
              <w:pStyle w:val="Default"/>
              <w:rPr>
                <w:rFonts w:asciiTheme="majorHAnsi" w:hAnsiTheme="majorHAnsi" w:cstheme="majorHAnsi"/>
                <w:b/>
                <w:bCs/>
                <w:sz w:val="22"/>
                <w:szCs w:val="22"/>
              </w:rPr>
            </w:pPr>
          </w:p>
          <w:p w:rsidR="00C91F41" w:rsidRPr="00D41091" w:rsidRDefault="00D41091">
            <w:pPr>
              <w:pStyle w:val="Default"/>
              <w:rPr>
                <w:rFonts w:asciiTheme="majorHAnsi" w:hAnsiTheme="majorHAnsi" w:cstheme="majorHAnsi"/>
                <w:b/>
                <w:bCs/>
                <w:sz w:val="22"/>
                <w:szCs w:val="22"/>
              </w:rPr>
            </w:pPr>
            <w:r w:rsidRPr="00D41091">
              <w:rPr>
                <w:rFonts w:asciiTheme="majorHAnsi" w:hAnsiTheme="majorHAnsi" w:cstheme="majorHAnsi"/>
                <w:b/>
                <w:bCs/>
                <w:sz w:val="22"/>
                <w:szCs w:val="22"/>
              </w:rPr>
              <w:t xml:space="preserve">Over-allotment </w:t>
            </w:r>
            <w:r w:rsidR="00C91F41" w:rsidRPr="00D41091">
              <w:rPr>
                <w:rFonts w:asciiTheme="majorHAnsi" w:hAnsiTheme="majorHAnsi" w:cstheme="majorHAnsi"/>
                <w:b/>
                <w:bCs/>
                <w:sz w:val="22"/>
                <w:szCs w:val="22"/>
              </w:rPr>
              <w:t xml:space="preserve">Option: </w:t>
            </w:r>
          </w:p>
          <w:p w:rsidR="00C91F41" w:rsidRPr="00D41091" w:rsidRDefault="00C91F41">
            <w:pPr>
              <w:pStyle w:val="Default"/>
              <w:rPr>
                <w:rFonts w:asciiTheme="majorHAnsi" w:hAnsiTheme="majorHAnsi" w:cstheme="majorHAnsi"/>
                <w:sz w:val="22"/>
                <w:szCs w:val="22"/>
              </w:rPr>
            </w:pPr>
          </w:p>
        </w:tc>
      </w:tr>
      <w:tr w:rsidR="00C91F41" w:rsidRPr="00D41091">
        <w:trPr>
          <w:trHeight w:val="327"/>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lastRenderedPageBreak/>
              <w:t xml:space="preserve">Terms: </w:t>
            </w:r>
          </w:p>
        </w:tc>
        <w:tc>
          <w:tcPr>
            <w:tcW w:w="4515" w:type="dxa"/>
          </w:tcPr>
          <w:p w:rsidR="00C91F41" w:rsidRPr="00D41091" w:rsidRDefault="008201B0" w:rsidP="00C91F41">
            <w:pPr>
              <w:pStyle w:val="Default"/>
              <w:jc w:val="both"/>
              <w:rPr>
                <w:rFonts w:asciiTheme="majorHAnsi" w:hAnsiTheme="majorHAnsi" w:cstheme="majorHAnsi"/>
                <w:sz w:val="22"/>
                <w:szCs w:val="22"/>
              </w:rPr>
            </w:pPr>
            <w:r w:rsidRPr="00D41091">
              <w:rPr>
                <w:rFonts w:asciiTheme="majorHAnsi" w:hAnsiTheme="majorHAnsi" w:cstheme="majorHAnsi"/>
                <w:sz w:val="22"/>
                <w:szCs w:val="22"/>
              </w:rPr>
              <w:t>GE Capital International Holdings Limited</w:t>
            </w:r>
            <w:r w:rsidR="009F4D2C" w:rsidRPr="00D41091">
              <w:rPr>
                <w:rFonts w:asciiTheme="majorHAnsi" w:hAnsiTheme="majorHAnsi" w:cstheme="majorHAnsi"/>
                <w:sz w:val="22"/>
                <w:szCs w:val="22"/>
              </w:rPr>
              <w:t xml:space="preserve"> has</w:t>
            </w:r>
            <w:r w:rsidR="00C91F41" w:rsidRPr="00D41091">
              <w:rPr>
                <w:rFonts w:asciiTheme="majorHAnsi" w:hAnsiTheme="majorHAnsi" w:cstheme="majorHAnsi"/>
                <w:sz w:val="22"/>
                <w:szCs w:val="22"/>
              </w:rPr>
              <w:t xml:space="preserve"> granted to J.P. Morgan </w:t>
            </w:r>
            <w:r w:rsidR="009F4D2C" w:rsidRPr="00D41091">
              <w:rPr>
                <w:rFonts w:asciiTheme="majorHAnsi" w:hAnsiTheme="majorHAnsi" w:cstheme="majorHAnsi"/>
                <w:sz w:val="22"/>
                <w:szCs w:val="22"/>
              </w:rPr>
              <w:t>Securities plc</w:t>
            </w:r>
            <w:r w:rsidR="00C91F41" w:rsidRPr="00D41091">
              <w:rPr>
                <w:rFonts w:asciiTheme="majorHAnsi" w:hAnsiTheme="majorHAnsi" w:cstheme="majorHAnsi"/>
                <w:sz w:val="22"/>
                <w:szCs w:val="22"/>
              </w:rPr>
              <w:t xml:space="preserve">, in its capacity as stabilising manager, the option to acquire up to an additional </w:t>
            </w:r>
            <w:r w:rsidRPr="00D41091">
              <w:rPr>
                <w:rFonts w:asciiTheme="majorHAnsi" w:hAnsiTheme="majorHAnsi" w:cstheme="majorHAnsi"/>
                <w:sz w:val="22"/>
                <w:szCs w:val="22"/>
              </w:rPr>
              <w:t>39,091,500</w:t>
            </w:r>
            <w:r w:rsidR="00C91F41" w:rsidRPr="00D41091">
              <w:rPr>
                <w:rFonts w:asciiTheme="majorHAnsi" w:hAnsiTheme="majorHAnsi" w:cstheme="majorHAnsi"/>
                <w:sz w:val="22"/>
                <w:szCs w:val="22"/>
              </w:rPr>
              <w:t xml:space="preserve"> shares</w:t>
            </w:r>
            <w:r w:rsidR="009F4D2C" w:rsidRPr="00D41091">
              <w:rPr>
                <w:rFonts w:asciiTheme="majorHAnsi" w:hAnsiTheme="majorHAnsi" w:cstheme="majorHAnsi"/>
                <w:sz w:val="22"/>
                <w:szCs w:val="22"/>
              </w:rPr>
              <w:t xml:space="preserve"> at the Offer Price</w:t>
            </w:r>
            <w:r w:rsidR="00C91F41" w:rsidRPr="00D41091">
              <w:rPr>
                <w:rFonts w:asciiTheme="majorHAnsi" w:hAnsiTheme="majorHAnsi" w:cstheme="majorHAnsi"/>
                <w:sz w:val="22"/>
                <w:szCs w:val="22"/>
              </w:rPr>
              <w:t xml:space="preserve">. </w:t>
            </w:r>
          </w:p>
          <w:p w:rsidR="00C91F41" w:rsidRPr="00D41091" w:rsidRDefault="00C91F41" w:rsidP="00C91F41">
            <w:pPr>
              <w:pStyle w:val="Default"/>
              <w:jc w:val="both"/>
              <w:rPr>
                <w:rFonts w:asciiTheme="majorHAnsi" w:hAnsiTheme="majorHAnsi" w:cstheme="majorHAnsi"/>
                <w:sz w:val="22"/>
                <w:szCs w:val="22"/>
              </w:rPr>
            </w:pPr>
          </w:p>
        </w:tc>
      </w:tr>
      <w:tr w:rsidR="00C91F41" w:rsidRPr="00D41091">
        <w:trPr>
          <w:trHeight w:val="327"/>
        </w:trPr>
        <w:tc>
          <w:tcPr>
            <w:tcW w:w="4515" w:type="dxa"/>
          </w:tcPr>
          <w:p w:rsidR="00C91F41" w:rsidRPr="00D41091" w:rsidRDefault="00C91F41">
            <w:pPr>
              <w:pStyle w:val="Default"/>
              <w:rPr>
                <w:rFonts w:asciiTheme="majorHAnsi" w:hAnsiTheme="majorHAnsi" w:cstheme="majorHAnsi"/>
                <w:sz w:val="22"/>
                <w:szCs w:val="22"/>
              </w:rPr>
            </w:pPr>
            <w:r w:rsidRPr="00D41091">
              <w:rPr>
                <w:rFonts w:asciiTheme="majorHAnsi" w:hAnsiTheme="majorHAnsi" w:cstheme="majorHAnsi"/>
                <w:sz w:val="22"/>
                <w:szCs w:val="22"/>
              </w:rPr>
              <w:t xml:space="preserve">Duration: </w:t>
            </w:r>
          </w:p>
        </w:tc>
        <w:tc>
          <w:tcPr>
            <w:tcW w:w="4515" w:type="dxa"/>
          </w:tcPr>
          <w:p w:rsidR="00C91F41" w:rsidRPr="00D41091" w:rsidRDefault="00C91F41" w:rsidP="00981BB8">
            <w:pPr>
              <w:pStyle w:val="Default"/>
              <w:jc w:val="both"/>
              <w:rPr>
                <w:rFonts w:asciiTheme="majorHAnsi" w:hAnsiTheme="majorHAnsi" w:cstheme="majorHAnsi"/>
                <w:sz w:val="22"/>
                <w:szCs w:val="22"/>
              </w:rPr>
            </w:pPr>
            <w:r w:rsidRPr="00D41091">
              <w:rPr>
                <w:rFonts w:asciiTheme="majorHAnsi" w:hAnsiTheme="majorHAnsi" w:cstheme="majorHAnsi"/>
                <w:sz w:val="22"/>
                <w:szCs w:val="22"/>
              </w:rPr>
              <w:t xml:space="preserve">This option may be exercised by the Stabilising Manager in whole or in part on one </w:t>
            </w:r>
            <w:r w:rsidR="00D41091" w:rsidRPr="00D41091">
              <w:rPr>
                <w:rFonts w:asciiTheme="majorHAnsi" w:hAnsiTheme="majorHAnsi" w:cstheme="majorHAnsi"/>
                <w:sz w:val="22"/>
                <w:szCs w:val="22"/>
              </w:rPr>
              <w:t xml:space="preserve">occasion only </w:t>
            </w:r>
            <w:r w:rsidRPr="00D41091">
              <w:rPr>
                <w:rFonts w:asciiTheme="majorHAnsi" w:hAnsiTheme="majorHAnsi" w:cstheme="majorHAnsi"/>
                <w:sz w:val="22"/>
                <w:szCs w:val="22"/>
              </w:rPr>
              <w:t xml:space="preserve">from </w:t>
            </w:r>
            <w:r w:rsidR="00837E81" w:rsidRPr="00D41091">
              <w:rPr>
                <w:rFonts w:asciiTheme="majorHAnsi" w:hAnsiTheme="majorHAnsi" w:cstheme="majorHAnsi"/>
                <w:sz w:val="22"/>
                <w:szCs w:val="22"/>
              </w:rPr>
              <w:t>6 May</w:t>
            </w:r>
            <w:r w:rsidR="009F4D2C" w:rsidRPr="00D41091">
              <w:rPr>
                <w:rFonts w:asciiTheme="majorHAnsi" w:hAnsiTheme="majorHAnsi" w:cstheme="majorHAnsi"/>
                <w:sz w:val="22"/>
                <w:szCs w:val="22"/>
              </w:rPr>
              <w:t xml:space="preserve"> 2016</w:t>
            </w:r>
            <w:r w:rsidRPr="00D41091">
              <w:rPr>
                <w:rFonts w:asciiTheme="majorHAnsi" w:hAnsiTheme="majorHAnsi" w:cstheme="majorHAnsi"/>
                <w:sz w:val="22"/>
                <w:szCs w:val="22"/>
              </w:rPr>
              <w:t xml:space="preserve"> to </w:t>
            </w:r>
            <w:r w:rsidR="00981BB8">
              <w:rPr>
                <w:rFonts w:asciiTheme="majorHAnsi" w:hAnsiTheme="majorHAnsi" w:cstheme="majorHAnsi"/>
                <w:sz w:val="22"/>
                <w:szCs w:val="22"/>
              </w:rPr>
              <w:t>4</w:t>
            </w:r>
            <w:r w:rsidR="00981BB8" w:rsidRPr="00D41091">
              <w:rPr>
                <w:rFonts w:asciiTheme="majorHAnsi" w:hAnsiTheme="majorHAnsi" w:cstheme="majorHAnsi"/>
                <w:sz w:val="22"/>
                <w:szCs w:val="22"/>
              </w:rPr>
              <w:t xml:space="preserve"> </w:t>
            </w:r>
            <w:r w:rsidR="00837E81" w:rsidRPr="00D41091">
              <w:rPr>
                <w:rFonts w:asciiTheme="majorHAnsi" w:hAnsiTheme="majorHAnsi" w:cstheme="majorHAnsi"/>
                <w:sz w:val="22"/>
                <w:szCs w:val="22"/>
              </w:rPr>
              <w:t>June</w:t>
            </w:r>
            <w:r w:rsidR="009F4D2C" w:rsidRPr="00D41091">
              <w:rPr>
                <w:rFonts w:asciiTheme="majorHAnsi" w:hAnsiTheme="majorHAnsi" w:cstheme="majorHAnsi"/>
                <w:sz w:val="22"/>
                <w:szCs w:val="22"/>
              </w:rPr>
              <w:t xml:space="preserve"> 2016.</w:t>
            </w:r>
          </w:p>
        </w:tc>
      </w:tr>
    </w:tbl>
    <w:p w:rsidR="00C91F41" w:rsidRPr="00D41091" w:rsidRDefault="00C91F41" w:rsidP="00C91F41">
      <w:pPr>
        <w:pStyle w:val="Default"/>
      </w:pPr>
    </w:p>
    <w:p w:rsidR="00C91F41" w:rsidRPr="00D41091" w:rsidRDefault="00C91F41" w:rsidP="00C91F41">
      <w:pPr>
        <w:pStyle w:val="Default"/>
        <w:jc w:val="both"/>
        <w:rPr>
          <w:rFonts w:asciiTheme="majorHAnsi" w:hAnsiTheme="majorHAnsi" w:cstheme="majorHAnsi"/>
          <w:sz w:val="22"/>
          <w:szCs w:val="22"/>
        </w:rPr>
      </w:pPr>
      <w:r w:rsidRPr="00D41091">
        <w:rPr>
          <w:rFonts w:asciiTheme="majorHAnsi" w:hAnsiTheme="majorHAnsi" w:cstheme="majorHAnsi"/>
          <w:sz w:val="22"/>
          <w:szCs w:val="22"/>
        </w:rPr>
        <w:t>In connection with the offer of the above securities, the Stabilising Manager may over-allot the securities or effect transactions with a view to supporting, stabilising or maintaining the market price of the securities at a level which might not otherwise prevail in the open market. However, there is no assurance that the Stabilising Manager will take any stabilisation action and any stabilisation action, if begun, may be ended at any time without prior notice.</w:t>
      </w:r>
      <w:r w:rsidR="009F4D2C" w:rsidRPr="00D41091">
        <w:rPr>
          <w:rFonts w:asciiTheme="majorHAnsi" w:hAnsiTheme="majorHAnsi" w:cstheme="majorHAnsi"/>
          <w:sz w:val="22"/>
          <w:szCs w:val="22"/>
        </w:rPr>
        <w:t xml:space="preserve"> Any stabilisation action or over-allotment shall be conducted in accordance with all applicable laws and regulations.</w:t>
      </w:r>
    </w:p>
    <w:p w:rsidR="00C91F41" w:rsidRPr="00D41091" w:rsidRDefault="00C91F41" w:rsidP="00C91F41">
      <w:pPr>
        <w:pStyle w:val="Default"/>
        <w:widowControl w:val="0"/>
        <w:jc w:val="both"/>
        <w:rPr>
          <w:rFonts w:asciiTheme="majorHAnsi" w:hAnsiTheme="majorHAnsi" w:cstheme="majorHAnsi"/>
          <w:color w:val="auto"/>
          <w:sz w:val="22"/>
          <w:szCs w:val="22"/>
        </w:rPr>
      </w:pPr>
    </w:p>
    <w:p w:rsidR="004D04CA" w:rsidRDefault="004D04CA" w:rsidP="004D04CA">
      <w:pPr>
        <w:rPr>
          <w:b/>
        </w:rPr>
      </w:pPr>
      <w:r>
        <w:rPr>
          <w:b/>
        </w:rPr>
        <w:t>IMPORTANT NOTICE</w:t>
      </w:r>
    </w:p>
    <w:p w:rsidR="004D04CA" w:rsidRDefault="004D04CA" w:rsidP="004D04CA">
      <w:pPr>
        <w:rPr>
          <w:b/>
        </w:rPr>
      </w:pPr>
    </w:p>
    <w:p w:rsidR="004D04CA" w:rsidRDefault="004D04CA" w:rsidP="004D04CA">
      <w:pPr>
        <w:rPr>
          <w:b/>
          <w:sz w:val="18"/>
          <w:szCs w:val="18"/>
        </w:rPr>
      </w:pPr>
      <w:r>
        <w:rPr>
          <w:b/>
          <w:sz w:val="18"/>
          <w:szCs w:val="18"/>
        </w:rPr>
        <w:t>THIS ANNOUNCEMENT IS NOT FOR PUBLICATION OR DISTRIBUTION (DIRECTLY OR INDIRECTLY) IN OR TO THE UNITED STATES, CANADA, AUSTRALIA OR JAPAN. THIS IS NOT AN OFFER OF SECURITIES FOR SALE IN OR INTO THE UNITED STATES, CANADA, AUSTRALIA OR JAPAN.</w:t>
      </w:r>
    </w:p>
    <w:p w:rsidR="004D04CA" w:rsidRDefault="004D04CA" w:rsidP="004D04CA">
      <w:pPr>
        <w:spacing w:after="120" w:line="120" w:lineRule="atLeast"/>
        <w:rPr>
          <w:rStyle w:val="ft"/>
          <w:i/>
          <w:iCs/>
          <w:sz w:val="18"/>
          <w:szCs w:val="18"/>
        </w:rPr>
      </w:pPr>
      <w:r>
        <w:rPr>
          <w:i/>
          <w:sz w:val="18"/>
          <w:szCs w:val="18"/>
        </w:rPr>
        <w:t>This announcement is not an offer of securities for sale in the United States.  The securities to which this announcement relates have not been and will not be registered under the Securities Act, and may not be offered or sold in the United States absent registration or an exemption from registration under the Securities Act.  There will not be a public offering of securities in the United States.</w:t>
      </w:r>
    </w:p>
    <w:p w:rsidR="004D04CA" w:rsidRDefault="004D04CA" w:rsidP="004D04CA">
      <w:pPr>
        <w:spacing w:after="120" w:line="120" w:lineRule="atLeast"/>
        <w:rPr>
          <w:i/>
          <w:iCs/>
          <w:sz w:val="18"/>
          <w:szCs w:val="18"/>
        </w:rPr>
      </w:pPr>
      <w:r>
        <w:rPr>
          <w:rStyle w:val="ft"/>
          <w:i/>
          <w:sz w:val="18"/>
          <w:szCs w:val="18"/>
        </w:rPr>
        <w:t xml:space="preserve">This announcement is only addressed to, and directed at, persons in the Czech Republic and other member states of the European Economic Area (“EEA”) </w:t>
      </w:r>
      <w:r>
        <w:rPr>
          <w:rStyle w:val="fs"/>
          <w:i/>
          <w:iCs/>
          <w:sz w:val="18"/>
          <w:szCs w:val="18"/>
        </w:rPr>
        <w:t xml:space="preserve">that have implemented the Prospectus Directive, other than the United Kingdom, </w:t>
      </w:r>
      <w:r>
        <w:rPr>
          <w:rStyle w:val="fu"/>
          <w:i/>
          <w:iCs/>
          <w:sz w:val="18"/>
          <w:szCs w:val="18"/>
        </w:rPr>
        <w:t>who are “</w:t>
      </w:r>
      <w:r w:rsidRPr="00865FCA">
        <w:rPr>
          <w:rStyle w:val="fu"/>
          <w:i/>
          <w:iCs/>
          <w:sz w:val="18"/>
          <w:szCs w:val="18"/>
        </w:rPr>
        <w:t>qualified investors</w:t>
      </w:r>
      <w:r>
        <w:rPr>
          <w:rStyle w:val="fu"/>
          <w:i/>
          <w:iCs/>
          <w:sz w:val="18"/>
          <w:szCs w:val="18"/>
        </w:rPr>
        <w:t>” within the meaning of Section 34(3) of the Czech Capital Markets Acts and Article 2(1</w:t>
      </w:r>
      <w:proofErr w:type="gramStart"/>
      <w:r>
        <w:rPr>
          <w:rStyle w:val="fu"/>
          <w:i/>
          <w:iCs/>
          <w:sz w:val="18"/>
          <w:szCs w:val="18"/>
        </w:rPr>
        <w:t>)(</w:t>
      </w:r>
      <w:proofErr w:type="gramEnd"/>
      <w:r>
        <w:rPr>
          <w:rStyle w:val="fu"/>
          <w:i/>
          <w:iCs/>
          <w:sz w:val="18"/>
          <w:szCs w:val="18"/>
        </w:rPr>
        <w:t xml:space="preserve">e) of the Prospectus Directive. In the United Kingdom, </w:t>
      </w:r>
      <w:r>
        <w:rPr>
          <w:i/>
          <w:iCs/>
          <w:sz w:val="18"/>
          <w:szCs w:val="18"/>
        </w:rPr>
        <w:t>this announcement is only addressed to, and directed at persons to whom interests may lawfully be promoted pursuant to section 21 of the Financial Services and Markets Act 2000. In particular, the announcement is only directed at investment professionals within the meaning of Article 19 of the Financial Services and Markets Act 2000 (Financial Promotion) Order 2005 (“</w:t>
      </w:r>
      <w:r>
        <w:rPr>
          <w:b/>
          <w:i/>
          <w:iCs/>
          <w:sz w:val="18"/>
          <w:szCs w:val="18"/>
        </w:rPr>
        <w:t>Relevant Persons</w:t>
      </w:r>
      <w:r>
        <w:rPr>
          <w:i/>
          <w:iCs/>
          <w:sz w:val="18"/>
          <w:szCs w:val="18"/>
        </w:rPr>
        <w:t xml:space="preserve">”). </w:t>
      </w:r>
      <w:r>
        <w:rPr>
          <w:rStyle w:val="fs"/>
          <w:i/>
          <w:iCs/>
          <w:sz w:val="18"/>
          <w:szCs w:val="18"/>
        </w:rPr>
        <w:t xml:space="preserve"> </w:t>
      </w:r>
      <w:r>
        <w:rPr>
          <w:rStyle w:val="fq"/>
          <w:i/>
          <w:iCs/>
          <w:sz w:val="18"/>
          <w:szCs w:val="18"/>
        </w:rPr>
        <w:t>Any investment or investment activity to which this announcement relates is available only to Relevant Persons in the United Kingdom and Qualified Investors in the Czech Republic and any other member state of the EEA, other than the United Kingdom, and will be engaged in only with such persons. Other persons should not rely or act upon this document or any of its contents.</w:t>
      </w:r>
    </w:p>
    <w:p w:rsidR="004D04CA" w:rsidRDefault="004D04CA" w:rsidP="004D04CA">
      <w:pPr>
        <w:spacing w:after="120" w:line="120" w:lineRule="atLeast"/>
        <w:rPr>
          <w:i/>
          <w:color w:val="0000FF"/>
          <w:sz w:val="18"/>
          <w:szCs w:val="18"/>
          <w:u w:val="single"/>
        </w:rPr>
      </w:pPr>
      <w:r>
        <w:rPr>
          <w:rFonts w:cs="Arial"/>
          <w:sz w:val="18"/>
          <w:szCs w:val="18"/>
        </w:rPr>
        <w:t xml:space="preserve">This announcement is for information purposes only and is not an offer of, or solicitation of an offer to buy or subscribe for, the securities referred to herein to any person in any jurisdiction. This announcement is an advertisement </w:t>
      </w:r>
      <w:r>
        <w:rPr>
          <w:sz w:val="18"/>
          <w:szCs w:val="18"/>
        </w:rPr>
        <w:t>for the purposes of Section 36k the Czech Capital Markets Act and Article 15 of</w:t>
      </w:r>
      <w:r>
        <w:rPr>
          <w:rFonts w:cs="Arial"/>
          <w:sz w:val="18"/>
          <w:szCs w:val="18"/>
        </w:rPr>
        <w:t xml:space="preserve"> the Prospectus Directive and not a prospectus. Investors should not subscribe for or purchase any Shares except on the basis of information in the Prospectus and the Pricing Supplement published on the webpage</w:t>
      </w:r>
      <w:r>
        <w:rPr>
          <w:i/>
          <w:sz w:val="18"/>
          <w:szCs w:val="18"/>
        </w:rPr>
        <w:t xml:space="preserve"> </w:t>
      </w:r>
      <w:r w:rsidRPr="00853655">
        <w:rPr>
          <w:i/>
          <w:color w:val="0000FF"/>
          <w:sz w:val="18"/>
          <w:szCs w:val="18"/>
          <w:u w:val="single"/>
        </w:rPr>
        <w:t>investors.monetabank.cz/</w:t>
      </w:r>
      <w:proofErr w:type="spellStart"/>
      <w:r w:rsidRPr="00853655">
        <w:rPr>
          <w:i/>
          <w:color w:val="0000FF"/>
          <w:sz w:val="18"/>
          <w:szCs w:val="18"/>
          <w:u w:val="single"/>
        </w:rPr>
        <w:t>ipo</w:t>
      </w:r>
      <w:proofErr w:type="spellEnd"/>
      <w:r w:rsidRPr="00853655">
        <w:rPr>
          <w:i/>
          <w:color w:val="0000FF"/>
          <w:sz w:val="18"/>
          <w:szCs w:val="18"/>
          <w:u w:val="single"/>
        </w:rPr>
        <w:t>-documents</w:t>
      </w:r>
      <w:r>
        <w:rPr>
          <w:rFonts w:cs="Arial"/>
          <w:sz w:val="18"/>
          <w:szCs w:val="18"/>
        </w:rPr>
        <w:t xml:space="preserve">, subject to applicable securities laws. </w:t>
      </w:r>
    </w:p>
    <w:p w:rsidR="004D04CA" w:rsidRDefault="004D04CA" w:rsidP="004D04CA">
      <w:pPr>
        <w:spacing w:after="120" w:line="120" w:lineRule="atLeast"/>
        <w:rPr>
          <w:rFonts w:cs="Arial"/>
          <w:sz w:val="18"/>
          <w:szCs w:val="18"/>
        </w:rPr>
      </w:pPr>
      <w:r>
        <w:rPr>
          <w:rFonts w:cs="Arial"/>
          <w:sz w:val="18"/>
          <w:szCs w:val="18"/>
        </w:rPr>
        <w:t>Any purchase of Shares in the Offering should be made solely on the basis of the information contained in the final Prospectus and the final Pricing Supplement issued by the Company. Before purchasing any Shares, persons viewing this announcement should ensure that they fully understand and accept the risks set out in the Prospectus. The information in this announcement is for background purposes only and does not purport to be full or complete. No reliance may be placed for any purpose on the information contained in this announcement or its accuracy or completeness. This announcement does not constitute or form part of any offer or invitation to sell or issue, or any solicitation of any offer to purchase or subscribe for any Shares or any other securities nor shall it (or any part of it) or the fact of its distribution, form the basis of, or be relied on in connection with, any contract therefor.</w:t>
      </w:r>
    </w:p>
    <w:p w:rsidR="004D04CA" w:rsidRDefault="004D04CA" w:rsidP="004D04CA">
      <w:pPr>
        <w:spacing w:after="120" w:line="120" w:lineRule="atLeast"/>
        <w:rPr>
          <w:rFonts w:cs="Arial"/>
          <w:sz w:val="18"/>
          <w:szCs w:val="18"/>
        </w:rPr>
      </w:pPr>
      <w:r>
        <w:rPr>
          <w:rFonts w:cs="Arial"/>
          <w:sz w:val="18"/>
          <w:szCs w:val="18"/>
        </w:rPr>
        <w:t xml:space="preserve">This announcement does not constitute a recommendation concerning the admission of the Shares to trading on the Prime Markets of the Prague Stock Exchange (the “Admission”) and the Offering. The price and value of the Shares and any income from them can go down as well as up. Past performance is not a guide to future performance. Information in this announcement or any of the documents relating to the Offering and the Admission cannot be relied upon as a guide to future performance. </w:t>
      </w:r>
      <w:r w:rsidRPr="00FB6B5D">
        <w:rPr>
          <w:rFonts w:cs="Arial"/>
          <w:sz w:val="18"/>
          <w:szCs w:val="18"/>
        </w:rPr>
        <w:t>The market capitalisation of the Company at any given time will depend on the market price of the Shares at that time. There can be no assurance that the market price of a Share will be equal to or exceed the Offer Price.</w:t>
      </w:r>
    </w:p>
    <w:p w:rsidR="004D04CA" w:rsidRDefault="004D04CA" w:rsidP="004D04CA">
      <w:pPr>
        <w:spacing w:after="120" w:line="120" w:lineRule="atLeast"/>
        <w:rPr>
          <w:rFonts w:cs="Arial"/>
          <w:sz w:val="18"/>
          <w:szCs w:val="18"/>
        </w:rPr>
      </w:pPr>
      <w:r>
        <w:rPr>
          <w:rFonts w:cs="Arial"/>
          <w:sz w:val="18"/>
          <w:szCs w:val="18"/>
        </w:rPr>
        <w:lastRenderedPageBreak/>
        <w:t xml:space="preserve">Each of the Company, the Selling Shareholder, Citigroup Global Markets Limited, Goldman Sachs International, J.P. Morgan Securities plc, WOOD &amp; Company Financial Services, </w:t>
      </w:r>
      <w:proofErr w:type="spellStart"/>
      <w:r>
        <w:rPr>
          <w:rFonts w:cs="Arial"/>
          <w:sz w:val="18"/>
          <w:szCs w:val="18"/>
        </w:rPr>
        <w:t>a.s</w:t>
      </w:r>
      <w:proofErr w:type="spellEnd"/>
      <w:r>
        <w:rPr>
          <w:rFonts w:cs="Arial"/>
          <w:sz w:val="18"/>
          <w:szCs w:val="18"/>
        </w:rPr>
        <w:t xml:space="preserve"> and their respective affiliates expressly disclaims any obligation or undertaking to update, review or revise any forward-looking statement contained in this announcement whether as a result of new information, future developments or otherwise.</w:t>
      </w:r>
    </w:p>
    <w:p w:rsidR="004D04CA" w:rsidRDefault="004D04CA" w:rsidP="004D04CA">
      <w:pPr>
        <w:spacing w:after="120" w:line="120" w:lineRule="atLeast"/>
        <w:rPr>
          <w:rFonts w:cs="Arial"/>
          <w:sz w:val="18"/>
          <w:szCs w:val="18"/>
        </w:rPr>
      </w:pPr>
      <w:r>
        <w:rPr>
          <w:rFonts w:cs="Arial"/>
          <w:sz w:val="18"/>
          <w:szCs w:val="18"/>
        </w:rPr>
        <w:t xml:space="preserve">WOOD &amp; Company Financial Services, </w:t>
      </w:r>
      <w:proofErr w:type="spellStart"/>
      <w:r>
        <w:rPr>
          <w:rFonts w:cs="Arial"/>
          <w:sz w:val="18"/>
          <w:szCs w:val="18"/>
        </w:rPr>
        <w:t>a.s</w:t>
      </w:r>
      <w:proofErr w:type="spellEnd"/>
      <w:r>
        <w:rPr>
          <w:rFonts w:cs="Arial"/>
          <w:sz w:val="18"/>
          <w:szCs w:val="18"/>
        </w:rPr>
        <w:t xml:space="preserve">. which is authorised and regulated by the </w:t>
      </w:r>
      <w:r w:rsidR="00981BB8">
        <w:rPr>
          <w:rFonts w:cs="Arial"/>
          <w:sz w:val="18"/>
          <w:szCs w:val="18"/>
        </w:rPr>
        <w:t>Czech National Bank</w:t>
      </w:r>
      <w:r>
        <w:rPr>
          <w:rFonts w:cs="Arial"/>
          <w:sz w:val="18"/>
          <w:szCs w:val="18"/>
        </w:rPr>
        <w:t xml:space="preserve"> in the Czech Republic, Citigroup Global Markets Limited, Goldman Sachs International and J.P. Morgan Securities plc, each of which is authorised by the Prudential Regulation Authority and regulated by the Financial Conduct Authority and the Prudential Regulation Authority in the United Kingdom, are acting exclusively for both the Selling Shareholder and the Company and no one else in relation to the Offering and the Admission and will not be responsible to anyone other than the Selling Shareholder and the Company for providing protections afforded to clients of Citigroup Global Markets Limited, Goldman Sachs International, J.P. Morgan Securities plc and WOOD &amp; Company Financial Services, </w:t>
      </w:r>
      <w:proofErr w:type="spellStart"/>
      <w:r>
        <w:rPr>
          <w:rFonts w:cs="Arial"/>
          <w:sz w:val="18"/>
          <w:szCs w:val="18"/>
        </w:rPr>
        <w:t>a.s</w:t>
      </w:r>
      <w:proofErr w:type="spellEnd"/>
      <w:r>
        <w:rPr>
          <w:rFonts w:cs="Arial"/>
          <w:sz w:val="18"/>
          <w:szCs w:val="18"/>
        </w:rPr>
        <w:t>. (the “</w:t>
      </w:r>
      <w:r>
        <w:rPr>
          <w:rFonts w:cs="Arial"/>
          <w:b/>
          <w:sz w:val="18"/>
          <w:szCs w:val="18"/>
        </w:rPr>
        <w:t>Managers</w:t>
      </w:r>
      <w:r>
        <w:rPr>
          <w:rFonts w:cs="Arial"/>
          <w:sz w:val="18"/>
          <w:szCs w:val="18"/>
        </w:rPr>
        <w:t>”) or for giving advice in relation to the Offering or any transaction or arrangement referred to herein.</w:t>
      </w:r>
    </w:p>
    <w:p w:rsidR="004D04CA" w:rsidRDefault="004D04CA" w:rsidP="004D04CA">
      <w:pPr>
        <w:spacing w:after="120" w:line="120" w:lineRule="atLeast"/>
        <w:rPr>
          <w:rFonts w:cs="Arial"/>
          <w:sz w:val="18"/>
          <w:szCs w:val="18"/>
        </w:rPr>
      </w:pPr>
      <w:r>
        <w:rPr>
          <w:rFonts w:cs="Arial"/>
          <w:sz w:val="18"/>
          <w:szCs w:val="18"/>
        </w:rPr>
        <w:t>In connection with the Offering and the Admission, each of the Managers and any of their respective affiliates, acting as an investor for its own account, may take up Shares in the Offering and in that capacity may retain, purchase or sell for its own account such Shares and any Shares or related investments and may offer or sell such Shares or other investments otherwise than in connection with the Offering. Accordingly, references in the Prospectus</w:t>
      </w:r>
      <w:r w:rsidR="00090226">
        <w:rPr>
          <w:rFonts w:cs="Arial"/>
          <w:sz w:val="18"/>
          <w:szCs w:val="18"/>
        </w:rPr>
        <w:t xml:space="preserve"> </w:t>
      </w:r>
      <w:r>
        <w:rPr>
          <w:rFonts w:cs="Arial"/>
          <w:sz w:val="18"/>
          <w:szCs w:val="18"/>
        </w:rPr>
        <w:t>to Shares being offered or placed should be read as including any offering or placement of Shares to any of the Managers or any of their respective affiliates acting in such capacity. None of the Managers intends to disclose the extent of any such investment or transactions otherwise than in accordance with any legal or regulatory obligation to do so. In addition, certain of the Managers or their affiliates may enter into financing arrangements (including swaps) with investors in connection with which such Managers (or their affiliates) may from time to time acquire, hold or dispose of Shares.</w:t>
      </w:r>
    </w:p>
    <w:p w:rsidR="004D04CA" w:rsidRDefault="004D04CA" w:rsidP="004D04CA">
      <w:pPr>
        <w:spacing w:after="120" w:line="120" w:lineRule="atLeast"/>
        <w:rPr>
          <w:rFonts w:cs="Arial"/>
          <w:sz w:val="18"/>
          <w:szCs w:val="18"/>
        </w:rPr>
      </w:pPr>
      <w:r>
        <w:rPr>
          <w:rFonts w:cs="Arial"/>
          <w:sz w:val="18"/>
          <w:szCs w:val="18"/>
        </w:rPr>
        <w:t>None of the Managers or any of their respective directors, officers, employees, advisers or agents accepts any responsibility or liability whatsoever for or makes any representation or warranty, express or implied, as to the truth, accuracy or completeness of the information in this announcement (or whether any information has been omitted from the announcement) or any other information relating to the Company, its subsidiaries or associated companies, whether written, oral or in a visual or electronic form, and howsoever transmitted or made available or for any loss howsoever arising from any use of this announcement or its contents or otherwise arising in connection therewith.</w:t>
      </w:r>
    </w:p>
    <w:p w:rsidR="004D04CA" w:rsidRDefault="004D04CA" w:rsidP="004D04CA">
      <w:pPr>
        <w:spacing w:after="120" w:line="120" w:lineRule="atLeast"/>
        <w:rPr>
          <w:rFonts w:cs="Arial"/>
          <w:sz w:val="18"/>
          <w:szCs w:val="18"/>
        </w:rPr>
      </w:pPr>
      <w:r>
        <w:rPr>
          <w:rFonts w:cs="Arial"/>
          <w:sz w:val="18"/>
          <w:szCs w:val="18"/>
        </w:rPr>
        <w:t xml:space="preserve">Acquiring investments to which this announcement relates may expose an investor to a significant risk of losing </w:t>
      </w:r>
      <w:proofErr w:type="gramStart"/>
      <w:r>
        <w:rPr>
          <w:rFonts w:cs="Arial"/>
          <w:sz w:val="18"/>
          <w:szCs w:val="18"/>
        </w:rPr>
        <w:t>all of the</w:t>
      </w:r>
      <w:proofErr w:type="gramEnd"/>
      <w:r>
        <w:rPr>
          <w:rFonts w:cs="Arial"/>
          <w:sz w:val="18"/>
          <w:szCs w:val="18"/>
        </w:rPr>
        <w:t xml:space="preserve"> amount invested. </w:t>
      </w:r>
    </w:p>
    <w:p w:rsidR="00820EA2" w:rsidRPr="009F4D2C" w:rsidRDefault="00820EA2" w:rsidP="008B60C0">
      <w:pPr>
        <w:tabs>
          <w:tab w:val="left" w:pos="6570"/>
        </w:tabs>
        <w:spacing w:after="60"/>
        <w:rPr>
          <w:rFonts w:asciiTheme="majorHAnsi" w:hAnsiTheme="majorHAnsi" w:cstheme="majorHAnsi"/>
        </w:rPr>
      </w:pPr>
    </w:p>
    <w:sectPr w:rsidR="00820EA2" w:rsidRPr="009F4D2C" w:rsidSect="002145F3">
      <w:footerReference w:type="default" r:id="rId9"/>
      <w:footerReference w:type="first" r:id="rId10"/>
      <w:pgSz w:w="11906" w:h="16838" w:code="9"/>
      <w:pgMar w:top="1418" w:right="1191" w:bottom="567" w:left="1191" w:header="567"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CF4" w:rsidRDefault="00116CF4" w:rsidP="002145F3">
      <w:r>
        <w:separator/>
      </w:r>
    </w:p>
  </w:endnote>
  <w:endnote w:type="continuationSeparator" w:id="0">
    <w:p w:rsidR="00116CF4" w:rsidRDefault="00116CF4" w:rsidP="0021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30204"/>
    <w:charset w:val="00"/>
    <w:family w:val="swiss"/>
    <w:pitch w:val="variable"/>
    <w:sig w:usb0="00000007" w:usb1="00000000"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2F2" w:rsidRPr="00FA6CFE" w:rsidRDefault="002172F2" w:rsidP="002172F2">
    <w:pPr>
      <w:pStyle w:val="Footer"/>
      <w:tabs>
        <w:tab w:val="right" w:pos="9540"/>
      </w:tabs>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2F2" w:rsidRPr="00FA6CFE" w:rsidRDefault="002145F3">
    <w:pPr>
      <w:pStyle w:val="Footer"/>
      <w:tabs>
        <w:tab w:val="clear" w:pos="4763"/>
        <w:tab w:val="clear" w:pos="9497"/>
        <w:tab w:val="right" w:pos="9540"/>
        <w:tab w:val="right" w:pos="9570"/>
      </w:tabs>
    </w:pPr>
    <w:r w:rsidRPr="00FA6CFE">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CF4" w:rsidRDefault="00116CF4" w:rsidP="002145F3">
      <w:r>
        <w:separator/>
      </w:r>
    </w:p>
  </w:footnote>
  <w:footnote w:type="continuationSeparator" w:id="0">
    <w:p w:rsidR="00116CF4" w:rsidRDefault="00116CF4" w:rsidP="002145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0222BC"/>
    <w:lvl w:ilvl="0">
      <w:start w:val="1"/>
      <w:numFmt w:val="decimal"/>
      <w:lvlText w:val="%1."/>
      <w:lvlJc w:val="left"/>
      <w:pPr>
        <w:tabs>
          <w:tab w:val="num" w:pos="1492"/>
        </w:tabs>
        <w:ind w:left="1492" w:hanging="360"/>
      </w:pPr>
    </w:lvl>
  </w:abstractNum>
  <w:abstractNum w:abstractNumId="1">
    <w:nsid w:val="FFFFFF7D"/>
    <w:multiLevelType w:val="singleLevel"/>
    <w:tmpl w:val="0DE0C7AE"/>
    <w:lvl w:ilvl="0">
      <w:start w:val="1"/>
      <w:numFmt w:val="decimal"/>
      <w:lvlText w:val="%1."/>
      <w:lvlJc w:val="left"/>
      <w:pPr>
        <w:tabs>
          <w:tab w:val="num" w:pos="1209"/>
        </w:tabs>
        <w:ind w:left="1209" w:hanging="360"/>
      </w:pPr>
    </w:lvl>
  </w:abstractNum>
  <w:abstractNum w:abstractNumId="2">
    <w:nsid w:val="FFFFFF7E"/>
    <w:multiLevelType w:val="singleLevel"/>
    <w:tmpl w:val="0416FA08"/>
    <w:lvl w:ilvl="0">
      <w:start w:val="1"/>
      <w:numFmt w:val="decimal"/>
      <w:lvlText w:val="%1."/>
      <w:lvlJc w:val="left"/>
      <w:pPr>
        <w:tabs>
          <w:tab w:val="num" w:pos="926"/>
        </w:tabs>
        <w:ind w:left="926" w:hanging="360"/>
      </w:pPr>
    </w:lvl>
  </w:abstractNum>
  <w:abstractNum w:abstractNumId="3">
    <w:nsid w:val="FFFFFF7F"/>
    <w:multiLevelType w:val="singleLevel"/>
    <w:tmpl w:val="EF98302C"/>
    <w:lvl w:ilvl="0">
      <w:start w:val="1"/>
      <w:numFmt w:val="decimal"/>
      <w:lvlText w:val="%1."/>
      <w:lvlJc w:val="left"/>
      <w:pPr>
        <w:tabs>
          <w:tab w:val="num" w:pos="643"/>
        </w:tabs>
        <w:ind w:left="643" w:hanging="360"/>
      </w:pPr>
    </w:lvl>
  </w:abstractNum>
  <w:abstractNum w:abstractNumId="4">
    <w:nsid w:val="FFFFFF80"/>
    <w:multiLevelType w:val="singleLevel"/>
    <w:tmpl w:val="D23AB9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8E03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DF61D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120E8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8A06EA"/>
    <w:lvl w:ilvl="0">
      <w:start w:val="1"/>
      <w:numFmt w:val="decimal"/>
      <w:lvlText w:val="%1."/>
      <w:lvlJc w:val="left"/>
      <w:pPr>
        <w:tabs>
          <w:tab w:val="num" w:pos="360"/>
        </w:tabs>
        <w:ind w:left="360" w:hanging="360"/>
      </w:pPr>
    </w:lvl>
  </w:abstractNum>
  <w:abstractNum w:abstractNumId="9">
    <w:nsid w:val="FFFFFF89"/>
    <w:multiLevelType w:val="singleLevel"/>
    <w:tmpl w:val="E60ACD42"/>
    <w:lvl w:ilvl="0">
      <w:start w:val="1"/>
      <w:numFmt w:val="bullet"/>
      <w:lvlText w:val=""/>
      <w:lvlJc w:val="left"/>
      <w:pPr>
        <w:tabs>
          <w:tab w:val="num" w:pos="360"/>
        </w:tabs>
        <w:ind w:left="360" w:hanging="360"/>
      </w:pPr>
      <w:rPr>
        <w:rFonts w:ascii="Symbol" w:hAnsi="Symbol" w:hint="default"/>
      </w:rPr>
    </w:lvl>
  </w:abstractNum>
  <w:abstractNum w:abstractNumId="10">
    <w:nsid w:val="07270173"/>
    <w:multiLevelType w:val="multilevel"/>
    <w:tmpl w:val="71CADD9C"/>
    <w:numStyleLink w:val="AppendixNumbering"/>
  </w:abstractNum>
  <w:abstractNum w:abstractNumId="11">
    <w:nsid w:val="159B177C"/>
    <w:multiLevelType w:val="multilevel"/>
    <w:tmpl w:val="E7229E7C"/>
    <w:styleLink w:val="ExhibitNumbering"/>
    <w:lvl w:ilvl="0">
      <w:start w:val="1"/>
      <w:numFmt w:val="none"/>
      <w:pStyle w:val="ssRestartExhibit"/>
      <w:suff w:val="nothing"/>
      <w:lvlText w:val=""/>
      <w:lvlJc w:val="left"/>
      <w:pPr>
        <w:ind w:left="0" w:firstLine="0"/>
      </w:pPr>
      <w:rPr>
        <w:rFonts w:hint="default"/>
      </w:rPr>
    </w:lvl>
    <w:lvl w:ilvl="1">
      <w:start w:val="1"/>
      <w:numFmt w:val="decimal"/>
      <w:pStyle w:val="ssqExhibit"/>
      <w:suff w:val="space"/>
      <w:lvlText w:val="Exhibi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AA4495E"/>
    <w:multiLevelType w:val="multilevel"/>
    <w:tmpl w:val="54D02D98"/>
    <w:styleLink w:val="PartNumbering"/>
    <w:lvl w:ilvl="0">
      <w:start w:val="1"/>
      <w:numFmt w:val="none"/>
      <w:pStyle w:val="ssRestartPart"/>
      <w:suff w:val="nothing"/>
      <w:lvlText w:val=""/>
      <w:lvlJc w:val="left"/>
      <w:pPr>
        <w:ind w:left="0" w:firstLine="0"/>
      </w:pPr>
      <w:rPr>
        <w:rFonts w:hint="default"/>
      </w:rPr>
    </w:lvl>
    <w:lvl w:ilvl="1">
      <w:start w:val="1"/>
      <w:numFmt w:val="decimal"/>
      <w:pStyle w:val="ssqPart"/>
      <w:suff w:val="space"/>
      <w:lvlText w:val="Par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B6A3223"/>
    <w:multiLevelType w:val="multilevel"/>
    <w:tmpl w:val="C8D6362C"/>
    <w:styleLink w:val="ListHeadings"/>
    <w:lvl w:ilvl="0">
      <w:start w:val="1"/>
      <w:numFmt w:val="none"/>
      <w:pStyle w:val="ssRestartNumber"/>
      <w:suff w:val="nothing"/>
      <w:lvlText w:val="%1"/>
      <w:lvlJc w:val="left"/>
      <w:pPr>
        <w:ind w:left="0" w:firstLine="0"/>
      </w:pPr>
      <w:rPr>
        <w:rFonts w:hint="default"/>
      </w:rPr>
    </w:lvl>
    <w:lvl w:ilvl="1">
      <w:start w:val="1"/>
      <w:numFmt w:val="decimal"/>
      <w:pStyle w:val="Heading1"/>
      <w:lvlText w:val="%2."/>
      <w:lvlJc w:val="left"/>
      <w:pPr>
        <w:tabs>
          <w:tab w:val="num" w:pos="709"/>
        </w:tabs>
        <w:ind w:left="709" w:hanging="709"/>
      </w:pPr>
      <w:rPr>
        <w:rFonts w:hint="default"/>
        <w:b w:val="0"/>
        <w:i w:val="0"/>
        <w:u w:val="none"/>
      </w:rPr>
    </w:lvl>
    <w:lvl w:ilvl="2">
      <w:start w:val="1"/>
      <w:numFmt w:val="decimal"/>
      <w:pStyle w:val="Heading2"/>
      <w:lvlText w:val="%2.%3"/>
      <w:lvlJc w:val="left"/>
      <w:pPr>
        <w:tabs>
          <w:tab w:val="num" w:pos="709"/>
        </w:tabs>
        <w:ind w:left="709" w:hanging="709"/>
      </w:pPr>
      <w:rPr>
        <w:rFonts w:hint="default"/>
        <w:b w:val="0"/>
        <w:i w:val="0"/>
        <w:u w:val="none"/>
      </w:rPr>
    </w:lvl>
    <w:lvl w:ilvl="3">
      <w:start w:val="1"/>
      <w:numFmt w:val="upperLetter"/>
      <w:pStyle w:val="Heading3"/>
      <w:lvlText w:val="(%4)"/>
      <w:lvlJc w:val="left"/>
      <w:pPr>
        <w:tabs>
          <w:tab w:val="num" w:pos="1418"/>
        </w:tabs>
        <w:ind w:left="1418" w:hanging="709"/>
      </w:pPr>
      <w:rPr>
        <w:rFonts w:hint="default"/>
        <w:b w:val="0"/>
        <w:i w:val="0"/>
      </w:rPr>
    </w:lvl>
    <w:lvl w:ilvl="4">
      <w:start w:val="1"/>
      <w:numFmt w:val="decimal"/>
      <w:pStyle w:val="Heading4"/>
      <w:lvlText w:val="(%5)"/>
      <w:lvlJc w:val="left"/>
      <w:pPr>
        <w:tabs>
          <w:tab w:val="num" w:pos="1985"/>
        </w:tabs>
        <w:ind w:left="1985" w:hanging="567"/>
      </w:pPr>
      <w:rPr>
        <w:rFonts w:hint="default"/>
        <w:b w:val="0"/>
        <w:i w:val="0"/>
      </w:rPr>
    </w:lvl>
    <w:lvl w:ilvl="5">
      <w:start w:val="1"/>
      <w:numFmt w:val="lowerLetter"/>
      <w:pStyle w:val="Heading5"/>
      <w:lvlText w:val="(%6)"/>
      <w:lvlJc w:val="left"/>
      <w:pPr>
        <w:tabs>
          <w:tab w:val="num" w:pos="2552"/>
        </w:tabs>
        <w:ind w:left="2552" w:hanging="567"/>
      </w:pPr>
      <w:rPr>
        <w:rFonts w:hint="default"/>
        <w:b w:val="0"/>
        <w:i w:val="0"/>
      </w:rPr>
    </w:lvl>
    <w:lvl w:ilvl="6">
      <w:start w:val="1"/>
      <w:numFmt w:val="lowerRoman"/>
      <w:pStyle w:val="Heading6"/>
      <w:lvlText w:val="(%7)"/>
      <w:lvlJc w:val="left"/>
      <w:pPr>
        <w:tabs>
          <w:tab w:val="num" w:pos="3119"/>
        </w:tabs>
        <w:ind w:left="3119" w:hanging="567"/>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2D5649B"/>
    <w:multiLevelType w:val="multilevel"/>
    <w:tmpl w:val="E7229E7C"/>
    <w:numStyleLink w:val="ExhibitNumbering"/>
  </w:abstractNum>
  <w:abstractNum w:abstractNumId="15">
    <w:nsid w:val="34281940"/>
    <w:multiLevelType w:val="multilevel"/>
    <w:tmpl w:val="71CADD9C"/>
    <w:numStyleLink w:val="AppendixNumbering"/>
  </w:abstractNum>
  <w:abstractNum w:abstractNumId="16">
    <w:nsid w:val="355E0BB2"/>
    <w:multiLevelType w:val="multilevel"/>
    <w:tmpl w:val="54D02D98"/>
    <w:numStyleLink w:val="PartNumbering"/>
  </w:abstractNum>
  <w:abstractNum w:abstractNumId="17">
    <w:nsid w:val="39937EB2"/>
    <w:multiLevelType w:val="multilevel"/>
    <w:tmpl w:val="06E2487A"/>
    <w:styleLink w:val="ScheduleNumbering"/>
    <w:lvl w:ilvl="0">
      <w:start w:val="1"/>
      <w:numFmt w:val="none"/>
      <w:pStyle w:val="ssRestartSchedule"/>
      <w:suff w:val="nothing"/>
      <w:lvlText w:val=""/>
      <w:lvlJc w:val="left"/>
      <w:pPr>
        <w:ind w:left="0" w:firstLine="0"/>
      </w:pPr>
      <w:rPr>
        <w:rFonts w:hint="default"/>
      </w:rPr>
    </w:lvl>
    <w:lvl w:ilvl="1">
      <w:start w:val="1"/>
      <w:numFmt w:val="decimal"/>
      <w:pStyle w:val="ssqSchedule"/>
      <w:suff w:val="space"/>
      <w:lvlText w:val="Schedule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937EB3"/>
    <w:multiLevelType w:val="multilevel"/>
    <w:tmpl w:val="1130A0CA"/>
    <w:styleLink w:val="SectionNumbering"/>
    <w:lvl w:ilvl="0">
      <w:start w:val="1"/>
      <w:numFmt w:val="none"/>
      <w:pStyle w:val="ssRestartSection"/>
      <w:suff w:val="nothing"/>
      <w:lvlText w:val="%1"/>
      <w:lvlJc w:val="left"/>
      <w:pPr>
        <w:ind w:left="0" w:firstLine="0"/>
      </w:pPr>
      <w:rPr>
        <w:rFonts w:hint="default"/>
      </w:rPr>
    </w:lvl>
    <w:lvl w:ilvl="1">
      <w:start w:val="1"/>
      <w:numFmt w:val="decimal"/>
      <w:pStyle w:val="ssqSection"/>
      <w:suff w:val="space"/>
      <w:lvlText w:val="Section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4185586C"/>
    <w:multiLevelType w:val="multilevel"/>
    <w:tmpl w:val="E7229E7C"/>
    <w:numStyleLink w:val="ExhibitNumbering"/>
  </w:abstractNum>
  <w:abstractNum w:abstractNumId="20">
    <w:nsid w:val="4400737D"/>
    <w:multiLevelType w:val="multilevel"/>
    <w:tmpl w:val="C8D6362C"/>
    <w:numStyleLink w:val="ListHeadings"/>
  </w:abstractNum>
  <w:abstractNum w:abstractNumId="21">
    <w:nsid w:val="464E539F"/>
    <w:multiLevelType w:val="multilevel"/>
    <w:tmpl w:val="71CADD9C"/>
    <w:styleLink w:val="AppendixNumbering"/>
    <w:lvl w:ilvl="0">
      <w:start w:val="1"/>
      <w:numFmt w:val="none"/>
      <w:pStyle w:val="ssRestartAppendix"/>
      <w:suff w:val="nothing"/>
      <w:lvlText w:val=""/>
      <w:lvlJc w:val="left"/>
      <w:pPr>
        <w:ind w:left="0" w:firstLine="0"/>
      </w:pPr>
      <w:rPr>
        <w:rFonts w:hint="default"/>
      </w:rPr>
    </w:lvl>
    <w:lvl w:ilvl="1">
      <w:start w:val="1"/>
      <w:numFmt w:val="decimal"/>
      <w:pStyle w:val="ssqAppendix"/>
      <w:suff w:val="space"/>
      <w:lvlText w:val="Appendix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6D8E29CB"/>
    <w:multiLevelType w:val="multilevel"/>
    <w:tmpl w:val="06E2487A"/>
    <w:numStyleLink w:val="ScheduleNumbering"/>
  </w:abstractNum>
  <w:abstractNum w:abstractNumId="23">
    <w:nsid w:val="6DC023DB"/>
    <w:multiLevelType w:val="multilevel"/>
    <w:tmpl w:val="54D02D98"/>
    <w:numStyleLink w:val="PartNumbering"/>
  </w:abstractNum>
  <w:abstractNum w:abstractNumId="24">
    <w:nsid w:val="752B37AC"/>
    <w:multiLevelType w:val="multilevel"/>
    <w:tmpl w:val="2BCE0584"/>
    <w:name w:val="Simmons&amp;Simmon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b w:val="0"/>
      </w:rPr>
    </w:lvl>
    <w:lvl w:ilvl="2">
      <w:start w:val="1"/>
      <w:numFmt w:val="decimal"/>
      <w:lvlText w:val="%2.%3"/>
      <w:lvlJc w:val="left"/>
      <w:pPr>
        <w:tabs>
          <w:tab w:val="num" w:pos="709"/>
        </w:tabs>
        <w:ind w:left="709" w:hanging="709"/>
      </w:pPr>
      <w:rPr>
        <w:rFonts w:hint="default"/>
        <w:b w:val="0"/>
      </w:rPr>
    </w:lvl>
    <w:lvl w:ilvl="3">
      <w:start w:val="1"/>
      <w:numFmt w:val="upperLetter"/>
      <w:lvlText w:val="(%4)"/>
      <w:lvlJc w:val="left"/>
      <w:pPr>
        <w:tabs>
          <w:tab w:val="num" w:pos="1418"/>
        </w:tabs>
        <w:ind w:left="1418" w:hanging="709"/>
      </w:pPr>
      <w:rPr>
        <w:rFonts w:hint="default"/>
        <w:b w:val="0"/>
      </w:rPr>
    </w:lvl>
    <w:lvl w:ilvl="4">
      <w:start w:val="1"/>
      <w:numFmt w:val="decimal"/>
      <w:lvlText w:val="(%5)"/>
      <w:lvlJc w:val="left"/>
      <w:pPr>
        <w:tabs>
          <w:tab w:val="num" w:pos="1985"/>
        </w:tabs>
        <w:ind w:left="1985" w:hanging="567"/>
      </w:pPr>
      <w:rPr>
        <w:rFonts w:hint="default"/>
        <w:b w:val="0"/>
      </w:rPr>
    </w:lvl>
    <w:lvl w:ilvl="5">
      <w:start w:val="1"/>
      <w:numFmt w:val="lowerLetter"/>
      <w:lvlText w:val="(%6)"/>
      <w:lvlJc w:val="left"/>
      <w:pPr>
        <w:tabs>
          <w:tab w:val="num" w:pos="2552"/>
        </w:tabs>
        <w:ind w:left="2552" w:hanging="567"/>
      </w:pPr>
      <w:rPr>
        <w:rFonts w:hint="default"/>
        <w:b w:val="0"/>
      </w:rPr>
    </w:lvl>
    <w:lvl w:ilvl="6">
      <w:start w:val="1"/>
      <w:numFmt w:val="lowerRoman"/>
      <w:lvlText w:val="(%7)"/>
      <w:lvlJc w:val="left"/>
      <w:pPr>
        <w:tabs>
          <w:tab w:val="num" w:pos="3119"/>
        </w:tabs>
        <w:ind w:left="3119" w:hanging="567"/>
      </w:pPr>
      <w:rPr>
        <w:rFonts w:hint="default"/>
        <w:b w:val="0"/>
      </w:rPr>
    </w:lvl>
    <w:lvl w:ilvl="7">
      <w:start w:val="1"/>
      <w:numFmt w:val="none"/>
      <w:suff w:val="nothing"/>
      <w:lvlText w:val=""/>
      <w:lvlJc w:val="left"/>
      <w:pPr>
        <w:ind w:left="0" w:firstLine="0"/>
      </w:pPr>
      <w:rPr>
        <w:rFonts w:hint="default"/>
        <w:b w:val="0"/>
      </w:rPr>
    </w:lvl>
    <w:lvl w:ilvl="8">
      <w:start w:val="1"/>
      <w:numFmt w:val="none"/>
      <w:suff w:val="nothing"/>
      <w:lvlText w:val=""/>
      <w:lvlJc w:val="left"/>
      <w:pPr>
        <w:ind w:left="0" w:firstLine="0"/>
      </w:pPr>
      <w:rPr>
        <w:rFonts w:hint="default"/>
        <w:b w:val="0"/>
      </w:rPr>
    </w:lvl>
  </w:abstractNum>
  <w:abstractNum w:abstractNumId="25">
    <w:nsid w:val="7F7618A8"/>
    <w:multiLevelType w:val="multilevel"/>
    <w:tmpl w:val="1130A0CA"/>
    <w:numStyleLink w:val="SectionNumbering"/>
  </w:abstractNum>
  <w:num w:numId="1">
    <w:abstractNumId w:val="21"/>
  </w:num>
  <w:num w:numId="2">
    <w:abstractNumId w:val="11"/>
  </w:num>
  <w:num w:numId="3">
    <w:abstractNumId w:val="13"/>
  </w:num>
  <w:num w:numId="4">
    <w:abstractNumId w:val="12"/>
  </w:num>
  <w:num w:numId="5">
    <w:abstractNumId w:val="17"/>
  </w:num>
  <w:num w:numId="6">
    <w:abstractNumId w:val="10"/>
  </w:num>
  <w:num w:numId="7">
    <w:abstractNumId w:val="19"/>
  </w:num>
  <w:num w:numId="8">
    <w:abstractNumId w:val="20"/>
  </w:num>
  <w:num w:numId="9">
    <w:abstractNumId w:val="23"/>
  </w:num>
  <w:num w:numId="10">
    <w:abstractNumId w:val="2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4"/>
  </w:num>
  <w:num w:numId="23">
    <w:abstractNumId w:val="16"/>
  </w:num>
  <w:num w:numId="24">
    <w:abstractNumId w:val="18"/>
  </w:num>
  <w:num w:numId="25">
    <w:abstractNumId w:val="25"/>
  </w:num>
  <w:num w:numId="26">
    <w:abstractNumId w:val="25"/>
  </w:num>
  <w:numIdMacAtCleanup w:val="1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y Authorized User">
    <w15:presenceInfo w15:providerId="None" w15:userId="Any Authorized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oNotTrackMoves/>
  <w:doNotTrackFormatting/>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TMS_CultureID" w:val="English-UK"/>
    <w:docVar w:name="TMS_OfficeID" w:val="London"/>
  </w:docVars>
  <w:rsids>
    <w:rsidRoot w:val="008D7FFB"/>
    <w:rsid w:val="0003545D"/>
    <w:rsid w:val="00044E5C"/>
    <w:rsid w:val="00090226"/>
    <w:rsid w:val="00101241"/>
    <w:rsid w:val="001060FD"/>
    <w:rsid w:val="001138DB"/>
    <w:rsid w:val="00116C4D"/>
    <w:rsid w:val="00116CF4"/>
    <w:rsid w:val="00134261"/>
    <w:rsid w:val="001570C6"/>
    <w:rsid w:val="00176254"/>
    <w:rsid w:val="00191C60"/>
    <w:rsid w:val="00193306"/>
    <w:rsid w:val="00194B5A"/>
    <w:rsid w:val="00206333"/>
    <w:rsid w:val="002068C6"/>
    <w:rsid w:val="002145F3"/>
    <w:rsid w:val="002172F2"/>
    <w:rsid w:val="0024268B"/>
    <w:rsid w:val="00245209"/>
    <w:rsid w:val="00260099"/>
    <w:rsid w:val="00292A74"/>
    <w:rsid w:val="002A6353"/>
    <w:rsid w:val="002B1642"/>
    <w:rsid w:val="002B301D"/>
    <w:rsid w:val="002C2329"/>
    <w:rsid w:val="00362631"/>
    <w:rsid w:val="00373FD4"/>
    <w:rsid w:val="0037455A"/>
    <w:rsid w:val="004078CF"/>
    <w:rsid w:val="00414ED0"/>
    <w:rsid w:val="004357E6"/>
    <w:rsid w:val="00455A1A"/>
    <w:rsid w:val="00457E41"/>
    <w:rsid w:val="00465953"/>
    <w:rsid w:val="004773DF"/>
    <w:rsid w:val="00482036"/>
    <w:rsid w:val="004928A1"/>
    <w:rsid w:val="00493ADC"/>
    <w:rsid w:val="004A360E"/>
    <w:rsid w:val="004D04CA"/>
    <w:rsid w:val="004D760D"/>
    <w:rsid w:val="004D78CD"/>
    <w:rsid w:val="004E3F51"/>
    <w:rsid w:val="0050793D"/>
    <w:rsid w:val="00566B4A"/>
    <w:rsid w:val="005D5E7E"/>
    <w:rsid w:val="00600524"/>
    <w:rsid w:val="00614675"/>
    <w:rsid w:val="006330D1"/>
    <w:rsid w:val="00665A99"/>
    <w:rsid w:val="006C4D17"/>
    <w:rsid w:val="006D01F6"/>
    <w:rsid w:val="006E4E77"/>
    <w:rsid w:val="0070398D"/>
    <w:rsid w:val="00703EDF"/>
    <w:rsid w:val="0072141D"/>
    <w:rsid w:val="0072322D"/>
    <w:rsid w:val="00724DEA"/>
    <w:rsid w:val="00732881"/>
    <w:rsid w:val="0073359A"/>
    <w:rsid w:val="007344D2"/>
    <w:rsid w:val="007500A2"/>
    <w:rsid w:val="00761BF6"/>
    <w:rsid w:val="007A33BD"/>
    <w:rsid w:val="007D6E17"/>
    <w:rsid w:val="00810282"/>
    <w:rsid w:val="008201B0"/>
    <w:rsid w:val="00820EA2"/>
    <w:rsid w:val="008353F9"/>
    <w:rsid w:val="00837E81"/>
    <w:rsid w:val="00851935"/>
    <w:rsid w:val="008B60C0"/>
    <w:rsid w:val="008C0FC8"/>
    <w:rsid w:val="008D7FFB"/>
    <w:rsid w:val="008E2CB9"/>
    <w:rsid w:val="008F46B3"/>
    <w:rsid w:val="00903624"/>
    <w:rsid w:val="00923465"/>
    <w:rsid w:val="00981BB8"/>
    <w:rsid w:val="009D4EB0"/>
    <w:rsid w:val="009F102B"/>
    <w:rsid w:val="009F4D2C"/>
    <w:rsid w:val="00A01050"/>
    <w:rsid w:val="00A7194E"/>
    <w:rsid w:val="00A74E44"/>
    <w:rsid w:val="00A87ADC"/>
    <w:rsid w:val="00B00EC2"/>
    <w:rsid w:val="00B04590"/>
    <w:rsid w:val="00B147B4"/>
    <w:rsid w:val="00B25E0D"/>
    <w:rsid w:val="00B31F8B"/>
    <w:rsid w:val="00B53B05"/>
    <w:rsid w:val="00B8689E"/>
    <w:rsid w:val="00C31756"/>
    <w:rsid w:val="00C45AC9"/>
    <w:rsid w:val="00C713F6"/>
    <w:rsid w:val="00C91F41"/>
    <w:rsid w:val="00CA6276"/>
    <w:rsid w:val="00CD2DD3"/>
    <w:rsid w:val="00D10B49"/>
    <w:rsid w:val="00D2677F"/>
    <w:rsid w:val="00D41091"/>
    <w:rsid w:val="00D60D03"/>
    <w:rsid w:val="00D8197C"/>
    <w:rsid w:val="00D822DD"/>
    <w:rsid w:val="00D87CAA"/>
    <w:rsid w:val="00DE4ACA"/>
    <w:rsid w:val="00E147B9"/>
    <w:rsid w:val="00E23D22"/>
    <w:rsid w:val="00E51D18"/>
    <w:rsid w:val="00E85890"/>
    <w:rsid w:val="00E95447"/>
    <w:rsid w:val="00E966B2"/>
    <w:rsid w:val="00EA5D4F"/>
    <w:rsid w:val="00EE3A2C"/>
    <w:rsid w:val="00F07EA1"/>
    <w:rsid w:val="00F27B5C"/>
    <w:rsid w:val="00F830B1"/>
    <w:rsid w:val="00FD3906"/>
    <w:rsid w:val="00FD3D25"/>
    <w:rsid w:val="00FF0476"/>
    <w:rsid w:val="00FF3360"/>
    <w:rsid w:val="00FF5166"/>
    <w:rsid w:val="00FF5FA4"/>
  </w:rsids>
  <m:mathPr>
    <m:mathFont m:val="Cambria Math"/>
    <m:brkBin m:val="before"/>
    <m:brkBinSub m:val="--"/>
    <m:smallFrac m:val="0"/>
    <m:dispDef/>
    <m:lMargin m:val="0"/>
    <m:rMargin m:val="0"/>
    <m:defJc m:val="centerGroup"/>
    <m:wrapIndent m:val="1440"/>
    <m:intLim m:val="subSup"/>
    <m:naryLim m:val="undOvr"/>
  </m:mathPr>
  <w:themeFontLang w:val="en-GB"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1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9"/>
    <w:pPr>
      <w:jc w:val="both"/>
    </w:pPr>
    <w:rPr>
      <w:rFonts w:asciiTheme="minorHAnsi" w:eastAsia="MingLiU" w:hAnsiTheme="minorHAnsi"/>
    </w:rPr>
  </w:style>
  <w:style w:type="paragraph" w:styleId="Heading1">
    <w:name w:val="heading 1"/>
    <w:basedOn w:val="Normal"/>
    <w:next w:val="ssPara1"/>
    <w:link w:val="Heading1Char"/>
    <w:uiPriority w:val="19"/>
    <w:qFormat/>
    <w:rsid w:val="00C45AC9"/>
    <w:pPr>
      <w:keepNext/>
      <w:keepLines/>
      <w:numPr>
        <w:ilvl w:val="1"/>
        <w:numId w:val="8"/>
      </w:numPr>
      <w:spacing w:after="260"/>
      <w:outlineLvl w:val="0"/>
    </w:pPr>
    <w:rPr>
      <w:rFonts w:asciiTheme="majorHAnsi" w:hAnsiTheme="majorHAnsi"/>
      <w:b/>
      <w:bCs/>
      <w:kern w:val="32"/>
      <w:szCs w:val="28"/>
      <w:u w:val="single"/>
    </w:rPr>
  </w:style>
  <w:style w:type="paragraph" w:styleId="Heading2">
    <w:name w:val="heading 2"/>
    <w:basedOn w:val="Normal"/>
    <w:next w:val="ssPara2"/>
    <w:link w:val="Heading2Char"/>
    <w:uiPriority w:val="19"/>
    <w:qFormat/>
    <w:rsid w:val="00C45AC9"/>
    <w:pPr>
      <w:keepNext/>
      <w:keepLines/>
      <w:numPr>
        <w:ilvl w:val="2"/>
        <w:numId w:val="8"/>
      </w:numPr>
      <w:spacing w:after="260"/>
      <w:outlineLvl w:val="1"/>
    </w:pPr>
    <w:rPr>
      <w:rFonts w:asciiTheme="majorHAnsi" w:hAnsiTheme="majorHAnsi"/>
      <w:b/>
      <w:bCs/>
      <w:szCs w:val="26"/>
    </w:rPr>
  </w:style>
  <w:style w:type="paragraph" w:styleId="Heading3">
    <w:name w:val="heading 3"/>
    <w:basedOn w:val="Normal"/>
    <w:next w:val="ssPara3"/>
    <w:link w:val="Heading3Char"/>
    <w:uiPriority w:val="19"/>
    <w:qFormat/>
    <w:rsid w:val="00C45AC9"/>
    <w:pPr>
      <w:keepNext/>
      <w:keepLines/>
      <w:numPr>
        <w:ilvl w:val="3"/>
        <w:numId w:val="8"/>
      </w:numPr>
      <w:spacing w:after="260"/>
      <w:outlineLvl w:val="2"/>
    </w:pPr>
    <w:rPr>
      <w:rFonts w:asciiTheme="majorHAnsi" w:hAnsiTheme="majorHAnsi"/>
      <w:b/>
      <w:bCs/>
    </w:rPr>
  </w:style>
  <w:style w:type="paragraph" w:styleId="Heading4">
    <w:name w:val="heading 4"/>
    <w:basedOn w:val="Normal"/>
    <w:next w:val="ssPara4"/>
    <w:link w:val="Heading4Char"/>
    <w:uiPriority w:val="19"/>
    <w:qFormat/>
    <w:rsid w:val="00C45AC9"/>
    <w:pPr>
      <w:keepNext/>
      <w:keepLines/>
      <w:numPr>
        <w:ilvl w:val="4"/>
        <w:numId w:val="8"/>
      </w:numPr>
      <w:spacing w:after="260"/>
      <w:outlineLvl w:val="3"/>
    </w:pPr>
    <w:rPr>
      <w:rFonts w:asciiTheme="majorHAnsi" w:hAnsiTheme="majorHAnsi"/>
      <w:b/>
      <w:bCs/>
      <w:iCs/>
    </w:rPr>
  </w:style>
  <w:style w:type="paragraph" w:styleId="Heading5">
    <w:name w:val="heading 5"/>
    <w:basedOn w:val="Normal"/>
    <w:next w:val="ssPara5"/>
    <w:link w:val="Heading5Char"/>
    <w:uiPriority w:val="19"/>
    <w:qFormat/>
    <w:rsid w:val="00C45AC9"/>
    <w:pPr>
      <w:keepNext/>
      <w:keepLines/>
      <w:numPr>
        <w:ilvl w:val="5"/>
        <w:numId w:val="8"/>
      </w:numPr>
      <w:spacing w:after="260"/>
      <w:outlineLvl w:val="4"/>
    </w:pPr>
    <w:rPr>
      <w:rFonts w:asciiTheme="majorHAnsi" w:hAnsiTheme="majorHAnsi"/>
      <w:b/>
    </w:rPr>
  </w:style>
  <w:style w:type="paragraph" w:styleId="Heading6">
    <w:name w:val="heading 6"/>
    <w:basedOn w:val="Normal"/>
    <w:next w:val="ssPara6"/>
    <w:link w:val="Heading6Char"/>
    <w:uiPriority w:val="19"/>
    <w:qFormat/>
    <w:rsid w:val="00C45AC9"/>
    <w:pPr>
      <w:keepNext/>
      <w:keepLines/>
      <w:numPr>
        <w:ilvl w:val="6"/>
        <w:numId w:val="8"/>
      </w:numPr>
      <w:spacing w:after="260"/>
      <w:outlineLvl w:val="5"/>
    </w:pPr>
    <w:rPr>
      <w:rFonts w:asciiTheme="majorHAnsi" w:hAnsiTheme="majorHAns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9"/>
    <w:rsid w:val="00C45AC9"/>
    <w:rPr>
      <w:rFonts w:asciiTheme="majorHAnsi" w:eastAsia="MingLiU" w:hAnsiTheme="majorHAnsi"/>
      <w:b/>
      <w:bCs/>
      <w:kern w:val="32"/>
      <w:szCs w:val="28"/>
      <w:u w:val="single"/>
    </w:rPr>
  </w:style>
  <w:style w:type="character" w:customStyle="1" w:styleId="Heading2Char">
    <w:name w:val="Heading 2 Char"/>
    <w:link w:val="Heading2"/>
    <w:uiPriority w:val="19"/>
    <w:rsid w:val="00C45AC9"/>
    <w:rPr>
      <w:rFonts w:asciiTheme="majorHAnsi" w:eastAsia="MingLiU" w:hAnsiTheme="majorHAnsi"/>
      <w:b/>
      <w:bCs/>
      <w:szCs w:val="26"/>
    </w:rPr>
  </w:style>
  <w:style w:type="character" w:customStyle="1" w:styleId="Heading3Char">
    <w:name w:val="Heading 3 Char"/>
    <w:link w:val="Heading3"/>
    <w:uiPriority w:val="19"/>
    <w:rsid w:val="00C45AC9"/>
    <w:rPr>
      <w:rFonts w:asciiTheme="majorHAnsi" w:eastAsia="MingLiU" w:hAnsiTheme="majorHAnsi"/>
      <w:b/>
      <w:bCs/>
    </w:rPr>
  </w:style>
  <w:style w:type="paragraph" w:styleId="Title">
    <w:name w:val="Title"/>
    <w:basedOn w:val="Normal"/>
    <w:next w:val="Normal"/>
    <w:link w:val="TitleChar"/>
    <w:uiPriority w:val="10"/>
    <w:qFormat/>
    <w:rsid w:val="00455A1A"/>
    <w:pPr>
      <w:pBdr>
        <w:bottom w:val="single" w:sz="8" w:space="4" w:color="4F81BD"/>
      </w:pBdr>
      <w:spacing w:after="300"/>
      <w:contextualSpacing/>
    </w:pPr>
    <w:rPr>
      <w:rFonts w:ascii="Arial" w:eastAsia="Times New Roman" w:hAnsi="Arial"/>
      <w:color w:val="17365D"/>
      <w:spacing w:val="5"/>
      <w:kern w:val="28"/>
      <w:sz w:val="36"/>
      <w:szCs w:val="52"/>
    </w:rPr>
  </w:style>
  <w:style w:type="character" w:customStyle="1" w:styleId="TitleChar">
    <w:name w:val="Title Char"/>
    <w:link w:val="Title"/>
    <w:uiPriority w:val="10"/>
    <w:rsid w:val="00455A1A"/>
    <w:rPr>
      <w:rFonts w:ascii="Arial" w:eastAsia="Times New Roman" w:hAnsi="Arial" w:cs="Times New Roman"/>
      <w:color w:val="17365D"/>
      <w:spacing w:val="5"/>
      <w:kern w:val="28"/>
      <w:sz w:val="36"/>
      <w:szCs w:val="52"/>
    </w:rPr>
  </w:style>
  <w:style w:type="paragraph" w:styleId="NoSpacing">
    <w:name w:val="No Spacing"/>
    <w:link w:val="NoSpacingChar"/>
    <w:uiPriority w:val="1"/>
    <w:qFormat/>
    <w:rsid w:val="00C45AC9"/>
    <w:rPr>
      <w:rFonts w:asciiTheme="minorHAnsi" w:eastAsia="MingLiU" w:hAnsiTheme="minorHAnsi"/>
      <w:lang w:eastAsia="ja-JP"/>
    </w:rPr>
  </w:style>
  <w:style w:type="character" w:customStyle="1" w:styleId="NoSpacingChar">
    <w:name w:val="No Spacing Char"/>
    <w:link w:val="NoSpacing"/>
    <w:uiPriority w:val="1"/>
    <w:rsid w:val="00C45AC9"/>
    <w:rPr>
      <w:rFonts w:asciiTheme="minorHAnsi" w:eastAsia="MingLiU" w:hAnsiTheme="minorHAnsi"/>
      <w:lang w:eastAsia="ja-JP"/>
    </w:rPr>
  </w:style>
  <w:style w:type="paragraph" w:styleId="BodyText">
    <w:name w:val="Body Text"/>
    <w:basedOn w:val="Normal"/>
    <w:link w:val="BodyTextChar"/>
    <w:rsid w:val="00C45AC9"/>
    <w:pPr>
      <w:spacing w:after="120"/>
    </w:pPr>
  </w:style>
  <w:style w:type="character" w:customStyle="1" w:styleId="BodyTextChar">
    <w:name w:val="Body Text Char"/>
    <w:basedOn w:val="DefaultParagraphFont"/>
    <w:link w:val="BodyText"/>
    <w:rsid w:val="00C45AC9"/>
    <w:rPr>
      <w:rFonts w:asciiTheme="minorHAnsi" w:eastAsia="MingLiU" w:hAnsiTheme="minorHAnsi"/>
    </w:rPr>
  </w:style>
  <w:style w:type="table" w:customStyle="1" w:styleId="Training">
    <w:name w:val="Training"/>
    <w:basedOn w:val="TableNormal"/>
    <w:uiPriority w:val="99"/>
    <w:rsid w:val="00455A1A"/>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Arial" w:hAnsi="Arial"/>
      </w:rPr>
    </w:tblStylePr>
  </w:style>
  <w:style w:type="paragraph" w:styleId="Footer">
    <w:name w:val="footer"/>
    <w:basedOn w:val="Normal"/>
    <w:link w:val="FooterChar"/>
    <w:rsid w:val="002145F3"/>
    <w:pPr>
      <w:tabs>
        <w:tab w:val="center" w:pos="4763"/>
        <w:tab w:val="right" w:pos="9497"/>
      </w:tabs>
      <w:spacing w:line="260" w:lineRule="atLeast"/>
    </w:pPr>
    <w:rPr>
      <w:rFonts w:ascii="Arial" w:eastAsia="SimSun" w:hAnsi="Arial"/>
      <w:sz w:val="12"/>
      <w:szCs w:val="20"/>
      <w:lang w:eastAsia="zh-CN"/>
    </w:rPr>
  </w:style>
  <w:style w:type="character" w:customStyle="1" w:styleId="FooterChar">
    <w:name w:val="Footer Char"/>
    <w:link w:val="Footer"/>
    <w:rsid w:val="002145F3"/>
    <w:rPr>
      <w:rFonts w:ascii="Arial" w:eastAsia="SimSun" w:hAnsi="Arial" w:cs="Times New Roman"/>
      <w:sz w:val="12"/>
      <w:szCs w:val="20"/>
      <w:lang w:eastAsia="zh-CN"/>
    </w:rPr>
  </w:style>
  <w:style w:type="character" w:styleId="PageNumber">
    <w:name w:val="page number"/>
    <w:rsid w:val="002145F3"/>
    <w:rPr>
      <w:rFonts w:ascii="Arial" w:hAnsi="Arial"/>
      <w:sz w:val="20"/>
    </w:rPr>
  </w:style>
  <w:style w:type="paragraph" w:customStyle="1" w:styleId="ssPara1">
    <w:name w:val="ssPara1"/>
    <w:basedOn w:val="Normal"/>
    <w:uiPriority w:val="34"/>
    <w:qFormat/>
    <w:rsid w:val="00C45AC9"/>
    <w:pPr>
      <w:spacing w:after="260"/>
    </w:pPr>
  </w:style>
  <w:style w:type="paragraph" w:styleId="Header">
    <w:name w:val="header"/>
    <w:basedOn w:val="Normal"/>
    <w:link w:val="HeaderChar"/>
    <w:uiPriority w:val="99"/>
    <w:unhideWhenUsed/>
    <w:rsid w:val="002145F3"/>
    <w:pPr>
      <w:tabs>
        <w:tab w:val="center" w:pos="4513"/>
        <w:tab w:val="right" w:pos="9026"/>
      </w:tabs>
    </w:pPr>
  </w:style>
  <w:style w:type="character" w:customStyle="1" w:styleId="HeaderChar">
    <w:name w:val="Header Char"/>
    <w:basedOn w:val="DefaultParagraphFont"/>
    <w:link w:val="Header"/>
    <w:uiPriority w:val="99"/>
    <w:rsid w:val="002145F3"/>
  </w:style>
  <w:style w:type="character" w:customStyle="1" w:styleId="Heading4Char">
    <w:name w:val="Heading 4 Char"/>
    <w:link w:val="Heading4"/>
    <w:uiPriority w:val="19"/>
    <w:rsid w:val="00C45AC9"/>
    <w:rPr>
      <w:rFonts w:asciiTheme="majorHAnsi" w:eastAsia="MingLiU" w:hAnsiTheme="majorHAnsi"/>
      <w:b/>
      <w:bCs/>
      <w:iCs/>
    </w:rPr>
  </w:style>
  <w:style w:type="character" w:customStyle="1" w:styleId="Heading5Char">
    <w:name w:val="Heading 5 Char"/>
    <w:link w:val="Heading5"/>
    <w:uiPriority w:val="19"/>
    <w:rsid w:val="00C45AC9"/>
    <w:rPr>
      <w:rFonts w:asciiTheme="majorHAnsi" w:eastAsia="MingLiU" w:hAnsiTheme="majorHAnsi"/>
      <w:b/>
    </w:rPr>
  </w:style>
  <w:style w:type="character" w:customStyle="1" w:styleId="Heading6Char">
    <w:name w:val="Heading 6 Char"/>
    <w:link w:val="Heading6"/>
    <w:uiPriority w:val="19"/>
    <w:rsid w:val="00C45AC9"/>
    <w:rPr>
      <w:rFonts w:asciiTheme="majorHAnsi" w:eastAsia="MingLiU" w:hAnsiTheme="majorHAnsi"/>
      <w:b/>
      <w:iCs/>
    </w:rPr>
  </w:style>
  <w:style w:type="numbering" w:customStyle="1" w:styleId="ListHeadings">
    <w:name w:val="List Headings"/>
    <w:uiPriority w:val="99"/>
    <w:rsid w:val="00732881"/>
    <w:pPr>
      <w:numPr>
        <w:numId w:val="3"/>
      </w:numPr>
    </w:pPr>
  </w:style>
  <w:style w:type="paragraph" w:customStyle="1" w:styleId="ssNoHeading1">
    <w:name w:val="ssNoHeading1"/>
    <w:basedOn w:val="Heading1"/>
    <w:uiPriority w:val="29"/>
    <w:qFormat/>
    <w:rsid w:val="00465953"/>
    <w:pPr>
      <w:keepNext w:val="0"/>
      <w:keepLines w:val="0"/>
    </w:pPr>
    <w:rPr>
      <w:b w:val="0"/>
      <w:u w:val="none"/>
    </w:rPr>
  </w:style>
  <w:style w:type="paragraph" w:customStyle="1" w:styleId="ssNoHeading2">
    <w:name w:val="ssNoHeading2"/>
    <w:basedOn w:val="Heading2"/>
    <w:uiPriority w:val="29"/>
    <w:qFormat/>
    <w:rsid w:val="008C0FC8"/>
    <w:pPr>
      <w:keepNext w:val="0"/>
      <w:keepLines w:val="0"/>
    </w:pPr>
    <w:rPr>
      <w:b w:val="0"/>
    </w:rPr>
  </w:style>
  <w:style w:type="paragraph" w:customStyle="1" w:styleId="ssNoHeading3">
    <w:name w:val="ssNoHeading3"/>
    <w:basedOn w:val="Heading3"/>
    <w:uiPriority w:val="29"/>
    <w:qFormat/>
    <w:rsid w:val="008C0FC8"/>
    <w:pPr>
      <w:keepNext w:val="0"/>
      <w:keepLines w:val="0"/>
    </w:pPr>
    <w:rPr>
      <w:b w:val="0"/>
    </w:rPr>
  </w:style>
  <w:style w:type="paragraph" w:customStyle="1" w:styleId="ssNoHeading4">
    <w:name w:val="ssNoHeading4"/>
    <w:basedOn w:val="Heading4"/>
    <w:uiPriority w:val="29"/>
    <w:qFormat/>
    <w:rsid w:val="008C0FC8"/>
    <w:pPr>
      <w:keepNext w:val="0"/>
      <w:keepLines w:val="0"/>
    </w:pPr>
    <w:rPr>
      <w:b w:val="0"/>
    </w:rPr>
  </w:style>
  <w:style w:type="paragraph" w:customStyle="1" w:styleId="ssNoHeading5">
    <w:name w:val="ssNoHeading5"/>
    <w:basedOn w:val="Heading5"/>
    <w:uiPriority w:val="29"/>
    <w:qFormat/>
    <w:rsid w:val="008C0FC8"/>
    <w:pPr>
      <w:keepNext w:val="0"/>
      <w:keepLines w:val="0"/>
    </w:pPr>
    <w:rPr>
      <w:b w:val="0"/>
    </w:rPr>
  </w:style>
  <w:style w:type="paragraph" w:customStyle="1" w:styleId="ssNoHeading6">
    <w:name w:val="ssNoHeading6"/>
    <w:basedOn w:val="Heading6"/>
    <w:uiPriority w:val="29"/>
    <w:qFormat/>
    <w:rsid w:val="008C0FC8"/>
    <w:pPr>
      <w:keepNext w:val="0"/>
      <w:keepLines w:val="0"/>
    </w:pPr>
    <w:rPr>
      <w:b w:val="0"/>
    </w:rPr>
  </w:style>
  <w:style w:type="paragraph" w:customStyle="1" w:styleId="ssPara2">
    <w:name w:val="ssPara2"/>
    <w:basedOn w:val="Normal"/>
    <w:uiPriority w:val="34"/>
    <w:qFormat/>
    <w:rsid w:val="00C45AC9"/>
    <w:pPr>
      <w:spacing w:after="260"/>
      <w:ind w:left="709"/>
    </w:pPr>
  </w:style>
  <w:style w:type="paragraph" w:customStyle="1" w:styleId="ssPara3">
    <w:name w:val="ssPara3"/>
    <w:basedOn w:val="Normal"/>
    <w:uiPriority w:val="34"/>
    <w:qFormat/>
    <w:rsid w:val="00C45AC9"/>
    <w:pPr>
      <w:spacing w:after="260"/>
      <w:ind w:left="1418"/>
    </w:pPr>
  </w:style>
  <w:style w:type="paragraph" w:customStyle="1" w:styleId="ssPara4">
    <w:name w:val="ssPara4"/>
    <w:basedOn w:val="Normal"/>
    <w:uiPriority w:val="34"/>
    <w:qFormat/>
    <w:rsid w:val="00C45AC9"/>
    <w:pPr>
      <w:spacing w:after="260"/>
      <w:ind w:left="1985"/>
    </w:pPr>
  </w:style>
  <w:style w:type="paragraph" w:customStyle="1" w:styleId="ssPara5">
    <w:name w:val="ssPara5"/>
    <w:basedOn w:val="Normal"/>
    <w:uiPriority w:val="34"/>
    <w:qFormat/>
    <w:rsid w:val="00C45AC9"/>
    <w:pPr>
      <w:spacing w:after="260"/>
      <w:ind w:left="2552"/>
    </w:pPr>
  </w:style>
  <w:style w:type="paragraph" w:customStyle="1" w:styleId="ssPara6">
    <w:name w:val="ssPara6"/>
    <w:basedOn w:val="Normal"/>
    <w:uiPriority w:val="34"/>
    <w:qFormat/>
    <w:rsid w:val="00C45AC9"/>
    <w:pPr>
      <w:spacing w:after="260"/>
      <w:ind w:left="3119"/>
    </w:pPr>
  </w:style>
  <w:style w:type="paragraph" w:customStyle="1" w:styleId="ssqAppendix">
    <w:name w:val="ssqAppendix"/>
    <w:basedOn w:val="ssPara1"/>
    <w:next w:val="ssPara1"/>
    <w:uiPriority w:val="39"/>
    <w:qFormat/>
    <w:rsid w:val="00614675"/>
    <w:pPr>
      <w:pageBreakBefore/>
      <w:numPr>
        <w:ilvl w:val="1"/>
        <w:numId w:val="21"/>
      </w:numPr>
      <w:jc w:val="center"/>
    </w:pPr>
    <w:rPr>
      <w:rFonts w:asciiTheme="majorHAnsi" w:hAnsiTheme="majorHAnsi" w:cstheme="minorBidi"/>
      <w:b/>
      <w:caps/>
      <w:lang w:eastAsia="en-US"/>
    </w:rPr>
  </w:style>
  <w:style w:type="paragraph" w:customStyle="1" w:styleId="ssqExhibit">
    <w:name w:val="ssqExhibit"/>
    <w:basedOn w:val="ssPara1"/>
    <w:next w:val="ssPara1"/>
    <w:uiPriority w:val="41"/>
    <w:qFormat/>
    <w:rsid w:val="00851935"/>
    <w:pPr>
      <w:pageBreakBefore/>
      <w:numPr>
        <w:ilvl w:val="1"/>
        <w:numId w:val="22"/>
      </w:numPr>
      <w:jc w:val="center"/>
    </w:pPr>
    <w:rPr>
      <w:rFonts w:asciiTheme="majorHAnsi" w:hAnsiTheme="majorHAnsi" w:cstheme="minorBidi"/>
      <w:b/>
      <w:caps/>
      <w:lang w:eastAsia="en-US"/>
    </w:rPr>
  </w:style>
  <w:style w:type="paragraph" w:customStyle="1" w:styleId="ssqPart">
    <w:name w:val="ssqPart"/>
    <w:basedOn w:val="ssPara1"/>
    <w:next w:val="ssPara1"/>
    <w:uiPriority w:val="43"/>
    <w:qFormat/>
    <w:rsid w:val="00614675"/>
    <w:pPr>
      <w:numPr>
        <w:ilvl w:val="1"/>
        <w:numId w:val="23"/>
      </w:numPr>
      <w:jc w:val="center"/>
    </w:pPr>
    <w:rPr>
      <w:rFonts w:asciiTheme="majorHAnsi" w:hAnsiTheme="majorHAnsi" w:cstheme="minorBidi"/>
      <w:b/>
      <w:caps/>
      <w:lang w:eastAsia="en-US"/>
    </w:rPr>
  </w:style>
  <w:style w:type="paragraph" w:customStyle="1" w:styleId="ssqSchedule">
    <w:name w:val="ssqSchedule"/>
    <w:basedOn w:val="ssPara1"/>
    <w:next w:val="ssPara1"/>
    <w:uiPriority w:val="45"/>
    <w:qFormat/>
    <w:rsid w:val="00C45AC9"/>
    <w:pPr>
      <w:pageBreakBefore/>
      <w:numPr>
        <w:ilvl w:val="1"/>
        <w:numId w:val="10"/>
      </w:numPr>
      <w:jc w:val="center"/>
    </w:pPr>
    <w:rPr>
      <w:rFonts w:asciiTheme="majorHAnsi" w:hAnsiTheme="majorHAnsi" w:cstheme="minorBidi"/>
      <w:b/>
      <w:caps/>
      <w:lang w:eastAsia="en-US"/>
    </w:rPr>
  </w:style>
  <w:style w:type="paragraph" w:customStyle="1" w:styleId="ssqToCAdd">
    <w:name w:val="ssqToCAdd"/>
    <w:basedOn w:val="ssPara1"/>
    <w:next w:val="ssPara1"/>
    <w:uiPriority w:val="49"/>
    <w:qFormat/>
    <w:rsid w:val="008C0FC8"/>
  </w:style>
  <w:style w:type="paragraph" w:customStyle="1" w:styleId="ssRestartAppendix">
    <w:name w:val="ssRestartAppendix"/>
    <w:basedOn w:val="Normal"/>
    <w:next w:val="ssPara1"/>
    <w:uiPriority w:val="40"/>
    <w:rsid w:val="00614675"/>
    <w:pPr>
      <w:numPr>
        <w:numId w:val="21"/>
      </w:numPr>
    </w:pPr>
    <w:rPr>
      <w:rFonts w:eastAsiaTheme="minorHAnsi" w:cstheme="minorBidi"/>
      <w:color w:val="FF0000"/>
      <w:lang w:eastAsia="en-US"/>
    </w:rPr>
  </w:style>
  <w:style w:type="paragraph" w:customStyle="1" w:styleId="ssRestartExhibit">
    <w:name w:val="ssRestartExhibit"/>
    <w:basedOn w:val="Normal"/>
    <w:next w:val="ssPara1"/>
    <w:uiPriority w:val="42"/>
    <w:rsid w:val="00614675"/>
    <w:pPr>
      <w:numPr>
        <w:numId w:val="22"/>
      </w:numPr>
    </w:pPr>
    <w:rPr>
      <w:rFonts w:eastAsiaTheme="minorHAnsi" w:cstheme="minorBidi"/>
      <w:color w:val="FF0000"/>
      <w:lang w:eastAsia="en-US"/>
    </w:rPr>
  </w:style>
  <w:style w:type="paragraph" w:customStyle="1" w:styleId="ssRestartNumber">
    <w:name w:val="ssRestartNumber"/>
    <w:basedOn w:val="Normal"/>
    <w:next w:val="ssPara1"/>
    <w:uiPriority w:val="38"/>
    <w:rsid w:val="00732881"/>
    <w:pPr>
      <w:numPr>
        <w:numId w:val="8"/>
      </w:numPr>
    </w:pPr>
    <w:rPr>
      <w:rFonts w:eastAsia="Times New Roman"/>
      <w:color w:val="FF0000"/>
    </w:rPr>
  </w:style>
  <w:style w:type="paragraph" w:customStyle="1" w:styleId="ssRestartPart">
    <w:name w:val="ssRestartPart"/>
    <w:basedOn w:val="Normal"/>
    <w:next w:val="ssPara1"/>
    <w:uiPriority w:val="44"/>
    <w:rsid w:val="00614675"/>
    <w:pPr>
      <w:numPr>
        <w:numId w:val="23"/>
      </w:numPr>
    </w:pPr>
    <w:rPr>
      <w:rFonts w:eastAsiaTheme="minorHAnsi" w:cstheme="minorBidi"/>
      <w:color w:val="FF0000"/>
      <w:lang w:eastAsia="en-US"/>
    </w:rPr>
  </w:style>
  <w:style w:type="paragraph" w:customStyle="1" w:styleId="ssRestartSchedule">
    <w:name w:val="ssRestartSchedule"/>
    <w:basedOn w:val="Normal"/>
    <w:next w:val="ssPara1"/>
    <w:uiPriority w:val="46"/>
    <w:rsid w:val="00732881"/>
    <w:pPr>
      <w:numPr>
        <w:numId w:val="10"/>
      </w:numPr>
    </w:pPr>
    <w:rPr>
      <w:rFonts w:eastAsiaTheme="minorHAnsi" w:cstheme="minorBidi"/>
      <w:color w:val="FF0000"/>
      <w:lang w:eastAsia="en-US"/>
    </w:rPr>
  </w:style>
  <w:style w:type="numbering" w:customStyle="1" w:styleId="AppendixNumbering">
    <w:name w:val="Appendix Numbering"/>
    <w:uiPriority w:val="99"/>
    <w:rsid w:val="00614675"/>
    <w:pPr>
      <w:numPr>
        <w:numId w:val="1"/>
      </w:numPr>
    </w:pPr>
  </w:style>
  <w:style w:type="numbering" w:customStyle="1" w:styleId="ExhibitNumbering">
    <w:name w:val="Exhibit Numbering"/>
    <w:uiPriority w:val="99"/>
    <w:rsid w:val="00614675"/>
    <w:pPr>
      <w:numPr>
        <w:numId w:val="2"/>
      </w:numPr>
    </w:pPr>
  </w:style>
  <w:style w:type="numbering" w:customStyle="1" w:styleId="PartNumbering">
    <w:name w:val="Part Numbering"/>
    <w:uiPriority w:val="99"/>
    <w:rsid w:val="00614675"/>
    <w:pPr>
      <w:numPr>
        <w:numId w:val="4"/>
      </w:numPr>
    </w:pPr>
  </w:style>
  <w:style w:type="numbering" w:customStyle="1" w:styleId="ScheduleNumbering">
    <w:name w:val="Schedule Numbering"/>
    <w:uiPriority w:val="99"/>
    <w:rsid w:val="00732881"/>
    <w:pPr>
      <w:numPr>
        <w:numId w:val="5"/>
      </w:numPr>
    </w:pPr>
  </w:style>
  <w:style w:type="paragraph" w:styleId="TOC1">
    <w:name w:val="toc 1"/>
    <w:basedOn w:val="Normal"/>
    <w:next w:val="Normal"/>
    <w:autoRedefine/>
    <w:rsid w:val="00FF3360"/>
    <w:pPr>
      <w:tabs>
        <w:tab w:val="right" w:leader="dot" w:pos="9497"/>
      </w:tabs>
      <w:spacing w:before="260"/>
      <w:ind w:left="709" w:right="595" w:hanging="709"/>
    </w:pPr>
    <w:rPr>
      <w:rFonts w:eastAsia="Times New Roman"/>
    </w:rPr>
  </w:style>
  <w:style w:type="paragraph" w:styleId="TOCHeading">
    <w:name w:val="TOC Heading"/>
    <w:basedOn w:val="Heading1"/>
    <w:next w:val="Normal"/>
    <w:uiPriority w:val="39"/>
    <w:semiHidden/>
    <w:unhideWhenUsed/>
    <w:qFormat/>
    <w:rsid w:val="009D4EB0"/>
    <w:pPr>
      <w:numPr>
        <w:ilvl w:val="0"/>
        <w:numId w:val="0"/>
      </w:numPr>
      <w:spacing w:before="480" w:after="0" w:line="276" w:lineRule="auto"/>
      <w:jc w:val="left"/>
      <w:outlineLvl w:val="9"/>
    </w:pPr>
    <w:rPr>
      <w:rFonts w:eastAsiaTheme="majorEastAsia" w:cstheme="majorBidi"/>
      <w:color w:val="365F91" w:themeColor="accent1" w:themeShade="BF"/>
      <w:kern w:val="0"/>
      <w:sz w:val="28"/>
      <w:u w:val="none"/>
      <w:lang w:eastAsia="ja-JP"/>
    </w:rPr>
  </w:style>
  <w:style w:type="character" w:styleId="Hyperlink">
    <w:name w:val="Hyperlink"/>
    <w:basedOn w:val="DefaultParagraphFont"/>
    <w:uiPriority w:val="99"/>
    <w:unhideWhenUsed/>
    <w:rsid w:val="009D4EB0"/>
    <w:rPr>
      <w:color w:val="0000FF" w:themeColor="hyperlink"/>
      <w:u w:val="single"/>
    </w:rPr>
  </w:style>
  <w:style w:type="paragraph" w:styleId="BalloonText">
    <w:name w:val="Balloon Text"/>
    <w:basedOn w:val="Normal"/>
    <w:link w:val="BalloonTextChar"/>
    <w:uiPriority w:val="99"/>
    <w:semiHidden/>
    <w:unhideWhenUsed/>
    <w:rsid w:val="009D4EB0"/>
    <w:rPr>
      <w:rFonts w:ascii="Tahoma" w:hAnsi="Tahoma" w:cs="Tahoma"/>
      <w:sz w:val="16"/>
      <w:szCs w:val="16"/>
    </w:rPr>
  </w:style>
  <w:style w:type="character" w:customStyle="1" w:styleId="BalloonTextChar">
    <w:name w:val="Balloon Text Char"/>
    <w:basedOn w:val="DefaultParagraphFont"/>
    <w:link w:val="BalloonText"/>
    <w:uiPriority w:val="99"/>
    <w:semiHidden/>
    <w:rsid w:val="009D4EB0"/>
    <w:rPr>
      <w:rFonts w:ascii="Tahoma" w:hAnsi="Tahoma" w:cs="Tahoma"/>
      <w:sz w:val="16"/>
      <w:szCs w:val="16"/>
    </w:rPr>
  </w:style>
  <w:style w:type="paragraph" w:styleId="Index1">
    <w:name w:val="index 1"/>
    <w:basedOn w:val="Normal"/>
    <w:next w:val="Normal"/>
    <w:autoRedefine/>
    <w:rsid w:val="00732881"/>
    <w:pPr>
      <w:spacing w:after="120"/>
      <w:ind w:left="221" w:hanging="221"/>
    </w:pPr>
    <w:rPr>
      <w:rFonts w:eastAsia="Times New Roman"/>
    </w:rPr>
  </w:style>
  <w:style w:type="paragraph" w:styleId="IndexHeading">
    <w:name w:val="index heading"/>
    <w:basedOn w:val="Normal"/>
    <w:next w:val="Index1"/>
    <w:rsid w:val="00732881"/>
    <w:pPr>
      <w:jc w:val="left"/>
    </w:pPr>
    <w:rPr>
      <w:rFonts w:asciiTheme="majorHAnsi" w:eastAsiaTheme="majorEastAsia" w:hAnsiTheme="majorHAnsi" w:cstheme="majorBidi"/>
      <w:b/>
      <w:bCs/>
    </w:rPr>
  </w:style>
  <w:style w:type="paragraph" w:styleId="Index2">
    <w:name w:val="index 2"/>
    <w:basedOn w:val="Normal"/>
    <w:next w:val="Normal"/>
    <w:autoRedefine/>
    <w:rsid w:val="00732881"/>
    <w:pPr>
      <w:spacing w:after="120"/>
      <w:ind w:left="442" w:hanging="221"/>
    </w:pPr>
    <w:rPr>
      <w:rFonts w:eastAsia="Times New Roman"/>
    </w:rPr>
  </w:style>
  <w:style w:type="paragraph" w:styleId="TOC2">
    <w:name w:val="toc 2"/>
    <w:basedOn w:val="Normal"/>
    <w:next w:val="Normal"/>
    <w:autoRedefine/>
    <w:semiHidden/>
    <w:rsid w:val="00FF3360"/>
    <w:pPr>
      <w:tabs>
        <w:tab w:val="right" w:leader="dot" w:pos="9497"/>
      </w:tabs>
      <w:spacing w:before="260"/>
      <w:ind w:left="1418" w:right="595" w:hanging="709"/>
    </w:pPr>
    <w:rPr>
      <w:rFonts w:eastAsia="Times New Roman"/>
    </w:rPr>
  </w:style>
  <w:style w:type="paragraph" w:styleId="TOC3">
    <w:name w:val="toc 3"/>
    <w:basedOn w:val="Normal"/>
    <w:next w:val="Normal"/>
    <w:autoRedefine/>
    <w:semiHidden/>
    <w:rsid w:val="00FF3360"/>
    <w:pPr>
      <w:tabs>
        <w:tab w:val="right" w:leader="dot" w:pos="9497"/>
      </w:tabs>
      <w:spacing w:before="260"/>
      <w:ind w:left="2127" w:right="595" w:hanging="709"/>
    </w:pPr>
    <w:rPr>
      <w:rFonts w:eastAsia="Times New Roman"/>
    </w:rPr>
  </w:style>
  <w:style w:type="paragraph" w:styleId="TOC4">
    <w:name w:val="toc 4"/>
    <w:basedOn w:val="Normal"/>
    <w:next w:val="Normal"/>
    <w:autoRedefine/>
    <w:semiHidden/>
    <w:rsid w:val="00FF3360"/>
    <w:pPr>
      <w:tabs>
        <w:tab w:val="right" w:leader="dot" w:pos="9497"/>
      </w:tabs>
      <w:spacing w:before="260"/>
      <w:ind w:left="2694" w:right="595" w:hanging="709"/>
    </w:pPr>
    <w:rPr>
      <w:rFonts w:eastAsia="Times New Roman"/>
    </w:rPr>
  </w:style>
  <w:style w:type="table" w:styleId="TableGrid">
    <w:name w:val="Table Grid"/>
    <w:basedOn w:val="TableNormal"/>
    <w:rsid w:val="00732881"/>
    <w:rPr>
      <w:rFonts w:eastAsia="SimSun"/>
      <w:szCs w:val="20"/>
    </w:rPr>
    <w:tblPr/>
  </w:style>
  <w:style w:type="paragraph" w:styleId="Index3">
    <w:name w:val="index 3"/>
    <w:basedOn w:val="Normal"/>
    <w:next w:val="Normal"/>
    <w:autoRedefine/>
    <w:semiHidden/>
    <w:rsid w:val="00732881"/>
    <w:pPr>
      <w:spacing w:after="120"/>
      <w:ind w:left="663" w:hanging="221"/>
    </w:pPr>
    <w:rPr>
      <w:rFonts w:eastAsia="Times New Roman"/>
    </w:rPr>
  </w:style>
  <w:style w:type="paragraph" w:styleId="Index4">
    <w:name w:val="index 4"/>
    <w:basedOn w:val="Normal"/>
    <w:next w:val="Normal"/>
    <w:autoRedefine/>
    <w:semiHidden/>
    <w:rsid w:val="00732881"/>
    <w:pPr>
      <w:spacing w:after="120"/>
      <w:ind w:left="879" w:hanging="221"/>
    </w:pPr>
    <w:rPr>
      <w:rFonts w:eastAsia="Times New Roman"/>
    </w:rPr>
  </w:style>
  <w:style w:type="paragraph" w:styleId="Index5">
    <w:name w:val="index 5"/>
    <w:basedOn w:val="Normal"/>
    <w:next w:val="Normal"/>
    <w:autoRedefine/>
    <w:semiHidden/>
    <w:rsid w:val="00732881"/>
    <w:pPr>
      <w:spacing w:after="120"/>
      <w:ind w:left="1100" w:hanging="221"/>
    </w:pPr>
    <w:rPr>
      <w:rFonts w:eastAsia="Times New Roman"/>
    </w:rPr>
  </w:style>
  <w:style w:type="paragraph" w:styleId="Index6">
    <w:name w:val="index 6"/>
    <w:basedOn w:val="Normal"/>
    <w:next w:val="Normal"/>
    <w:autoRedefine/>
    <w:semiHidden/>
    <w:rsid w:val="00732881"/>
    <w:pPr>
      <w:spacing w:after="120"/>
      <w:ind w:left="1321" w:hanging="221"/>
    </w:pPr>
    <w:rPr>
      <w:rFonts w:eastAsia="Times New Roman"/>
    </w:rPr>
  </w:style>
  <w:style w:type="paragraph" w:styleId="Index7">
    <w:name w:val="index 7"/>
    <w:basedOn w:val="Normal"/>
    <w:next w:val="Normal"/>
    <w:autoRedefine/>
    <w:semiHidden/>
    <w:rsid w:val="00732881"/>
    <w:pPr>
      <w:spacing w:after="120"/>
      <w:ind w:left="1542" w:hanging="221"/>
    </w:pPr>
    <w:rPr>
      <w:rFonts w:eastAsia="Times New Roman"/>
    </w:rPr>
  </w:style>
  <w:style w:type="paragraph" w:styleId="Index8">
    <w:name w:val="index 8"/>
    <w:basedOn w:val="Normal"/>
    <w:next w:val="Normal"/>
    <w:autoRedefine/>
    <w:semiHidden/>
    <w:rsid w:val="00732881"/>
    <w:pPr>
      <w:spacing w:after="120"/>
      <w:ind w:left="1763" w:hanging="221"/>
    </w:pPr>
    <w:rPr>
      <w:rFonts w:eastAsia="Times New Roman"/>
    </w:rPr>
  </w:style>
  <w:style w:type="paragraph" w:styleId="Index9">
    <w:name w:val="index 9"/>
    <w:basedOn w:val="Normal"/>
    <w:next w:val="Normal"/>
    <w:autoRedefine/>
    <w:semiHidden/>
    <w:rsid w:val="00732881"/>
    <w:pPr>
      <w:spacing w:after="120"/>
      <w:ind w:left="1979" w:hanging="221"/>
    </w:pPr>
    <w:rPr>
      <w:rFonts w:eastAsia="Times New Roman"/>
    </w:rPr>
  </w:style>
  <w:style w:type="paragraph" w:styleId="EnvelopeAddress">
    <w:name w:val="envelope address"/>
    <w:basedOn w:val="Normal"/>
    <w:uiPriority w:val="99"/>
    <w:semiHidden/>
    <w:unhideWhenUsed/>
    <w:rsid w:val="00C45AC9"/>
    <w:pPr>
      <w:framePr w:w="7920" w:h="1980" w:hRule="exact" w:hSpace="180" w:wrap="auto" w:hAnchor="page" w:xAlign="center" w:yAlign="bottom"/>
      <w:ind w:left="2880"/>
    </w:pPr>
    <w:rPr>
      <w:rFonts w:asciiTheme="majorHAnsi" w:hAnsiTheme="majorHAnsi" w:cstheme="majorBidi"/>
      <w:sz w:val="24"/>
      <w:szCs w:val="24"/>
    </w:rPr>
  </w:style>
  <w:style w:type="numbering" w:customStyle="1" w:styleId="SectionNumbering">
    <w:name w:val="Section Numbering"/>
    <w:uiPriority w:val="99"/>
    <w:rsid w:val="008353F9"/>
    <w:pPr>
      <w:numPr>
        <w:numId w:val="24"/>
      </w:numPr>
    </w:pPr>
  </w:style>
  <w:style w:type="paragraph" w:customStyle="1" w:styleId="ssqSection">
    <w:name w:val="ssqSection"/>
    <w:basedOn w:val="ssPara1"/>
    <w:next w:val="ssPara1"/>
    <w:uiPriority w:val="45"/>
    <w:qFormat/>
    <w:rsid w:val="008353F9"/>
    <w:pPr>
      <w:numPr>
        <w:ilvl w:val="1"/>
        <w:numId w:val="26"/>
      </w:numPr>
      <w:jc w:val="center"/>
    </w:pPr>
    <w:rPr>
      <w:rFonts w:asciiTheme="majorHAnsi" w:eastAsiaTheme="minorHAnsi" w:hAnsiTheme="majorHAnsi" w:cstheme="minorBidi"/>
      <w:b/>
      <w:caps/>
      <w:lang w:eastAsia="en-US"/>
    </w:rPr>
  </w:style>
  <w:style w:type="paragraph" w:customStyle="1" w:styleId="ssRestartSection">
    <w:name w:val="ssRestartSection"/>
    <w:basedOn w:val="Normal"/>
    <w:next w:val="ssPara1"/>
    <w:uiPriority w:val="46"/>
    <w:rsid w:val="008353F9"/>
    <w:pPr>
      <w:numPr>
        <w:numId w:val="26"/>
      </w:numPr>
    </w:pPr>
    <w:rPr>
      <w:rFonts w:eastAsiaTheme="minorHAnsi" w:cstheme="minorBidi"/>
      <w:color w:val="FF0000"/>
      <w:lang w:eastAsia="en-US"/>
    </w:rPr>
  </w:style>
  <w:style w:type="paragraph" w:customStyle="1" w:styleId="Default">
    <w:name w:val="Default"/>
    <w:rsid w:val="00C91F41"/>
    <w:pPr>
      <w:autoSpaceDE w:val="0"/>
      <w:autoSpaceDN w:val="0"/>
      <w:adjustRightInd w:val="0"/>
    </w:pPr>
    <w:rPr>
      <w:rFonts w:ascii="Verdana" w:hAnsi="Verdana" w:cs="Verdana"/>
      <w:color w:val="000000"/>
      <w:sz w:val="24"/>
      <w:szCs w:val="24"/>
    </w:rPr>
  </w:style>
  <w:style w:type="character" w:customStyle="1" w:styleId="ft">
    <w:name w:val="ft"/>
    <w:basedOn w:val="DefaultParagraphFont"/>
    <w:rsid w:val="004D04CA"/>
  </w:style>
  <w:style w:type="character" w:customStyle="1" w:styleId="fs">
    <w:name w:val="fs"/>
    <w:basedOn w:val="DefaultParagraphFont"/>
    <w:rsid w:val="004D04CA"/>
  </w:style>
  <w:style w:type="character" w:customStyle="1" w:styleId="fu">
    <w:name w:val="fu"/>
    <w:basedOn w:val="DefaultParagraphFont"/>
    <w:rsid w:val="004D04CA"/>
  </w:style>
  <w:style w:type="character" w:customStyle="1" w:styleId="fq">
    <w:name w:val="fq"/>
    <w:basedOn w:val="DefaultParagraphFont"/>
    <w:rsid w:val="004D04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1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9"/>
    <w:pPr>
      <w:jc w:val="both"/>
    </w:pPr>
    <w:rPr>
      <w:rFonts w:asciiTheme="minorHAnsi" w:eastAsia="MingLiU" w:hAnsiTheme="minorHAnsi"/>
    </w:rPr>
  </w:style>
  <w:style w:type="paragraph" w:styleId="Heading1">
    <w:name w:val="heading 1"/>
    <w:basedOn w:val="Normal"/>
    <w:next w:val="ssPara1"/>
    <w:link w:val="Heading1Char"/>
    <w:uiPriority w:val="19"/>
    <w:qFormat/>
    <w:rsid w:val="00C45AC9"/>
    <w:pPr>
      <w:keepNext/>
      <w:keepLines/>
      <w:numPr>
        <w:ilvl w:val="1"/>
        <w:numId w:val="8"/>
      </w:numPr>
      <w:spacing w:after="260"/>
      <w:outlineLvl w:val="0"/>
    </w:pPr>
    <w:rPr>
      <w:rFonts w:asciiTheme="majorHAnsi" w:hAnsiTheme="majorHAnsi"/>
      <w:b/>
      <w:bCs/>
      <w:kern w:val="32"/>
      <w:szCs w:val="28"/>
      <w:u w:val="single"/>
    </w:rPr>
  </w:style>
  <w:style w:type="paragraph" w:styleId="Heading2">
    <w:name w:val="heading 2"/>
    <w:basedOn w:val="Normal"/>
    <w:next w:val="ssPara2"/>
    <w:link w:val="Heading2Char"/>
    <w:uiPriority w:val="19"/>
    <w:qFormat/>
    <w:rsid w:val="00C45AC9"/>
    <w:pPr>
      <w:keepNext/>
      <w:keepLines/>
      <w:numPr>
        <w:ilvl w:val="2"/>
        <w:numId w:val="8"/>
      </w:numPr>
      <w:spacing w:after="260"/>
      <w:outlineLvl w:val="1"/>
    </w:pPr>
    <w:rPr>
      <w:rFonts w:asciiTheme="majorHAnsi" w:hAnsiTheme="majorHAnsi"/>
      <w:b/>
      <w:bCs/>
      <w:szCs w:val="26"/>
    </w:rPr>
  </w:style>
  <w:style w:type="paragraph" w:styleId="Heading3">
    <w:name w:val="heading 3"/>
    <w:basedOn w:val="Normal"/>
    <w:next w:val="ssPara3"/>
    <w:link w:val="Heading3Char"/>
    <w:uiPriority w:val="19"/>
    <w:qFormat/>
    <w:rsid w:val="00C45AC9"/>
    <w:pPr>
      <w:keepNext/>
      <w:keepLines/>
      <w:numPr>
        <w:ilvl w:val="3"/>
        <w:numId w:val="8"/>
      </w:numPr>
      <w:spacing w:after="260"/>
      <w:outlineLvl w:val="2"/>
    </w:pPr>
    <w:rPr>
      <w:rFonts w:asciiTheme="majorHAnsi" w:hAnsiTheme="majorHAnsi"/>
      <w:b/>
      <w:bCs/>
    </w:rPr>
  </w:style>
  <w:style w:type="paragraph" w:styleId="Heading4">
    <w:name w:val="heading 4"/>
    <w:basedOn w:val="Normal"/>
    <w:next w:val="ssPara4"/>
    <w:link w:val="Heading4Char"/>
    <w:uiPriority w:val="19"/>
    <w:qFormat/>
    <w:rsid w:val="00C45AC9"/>
    <w:pPr>
      <w:keepNext/>
      <w:keepLines/>
      <w:numPr>
        <w:ilvl w:val="4"/>
        <w:numId w:val="8"/>
      </w:numPr>
      <w:spacing w:after="260"/>
      <w:outlineLvl w:val="3"/>
    </w:pPr>
    <w:rPr>
      <w:rFonts w:asciiTheme="majorHAnsi" w:hAnsiTheme="majorHAnsi"/>
      <w:b/>
      <w:bCs/>
      <w:iCs/>
    </w:rPr>
  </w:style>
  <w:style w:type="paragraph" w:styleId="Heading5">
    <w:name w:val="heading 5"/>
    <w:basedOn w:val="Normal"/>
    <w:next w:val="ssPara5"/>
    <w:link w:val="Heading5Char"/>
    <w:uiPriority w:val="19"/>
    <w:qFormat/>
    <w:rsid w:val="00C45AC9"/>
    <w:pPr>
      <w:keepNext/>
      <w:keepLines/>
      <w:numPr>
        <w:ilvl w:val="5"/>
        <w:numId w:val="8"/>
      </w:numPr>
      <w:spacing w:after="260"/>
      <w:outlineLvl w:val="4"/>
    </w:pPr>
    <w:rPr>
      <w:rFonts w:asciiTheme="majorHAnsi" w:hAnsiTheme="majorHAnsi"/>
      <w:b/>
    </w:rPr>
  </w:style>
  <w:style w:type="paragraph" w:styleId="Heading6">
    <w:name w:val="heading 6"/>
    <w:basedOn w:val="Normal"/>
    <w:next w:val="ssPara6"/>
    <w:link w:val="Heading6Char"/>
    <w:uiPriority w:val="19"/>
    <w:qFormat/>
    <w:rsid w:val="00C45AC9"/>
    <w:pPr>
      <w:keepNext/>
      <w:keepLines/>
      <w:numPr>
        <w:ilvl w:val="6"/>
        <w:numId w:val="8"/>
      </w:numPr>
      <w:spacing w:after="260"/>
      <w:outlineLvl w:val="5"/>
    </w:pPr>
    <w:rPr>
      <w:rFonts w:asciiTheme="majorHAnsi" w:hAnsiTheme="majorHAns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9"/>
    <w:rsid w:val="00C45AC9"/>
    <w:rPr>
      <w:rFonts w:asciiTheme="majorHAnsi" w:eastAsia="MingLiU" w:hAnsiTheme="majorHAnsi"/>
      <w:b/>
      <w:bCs/>
      <w:kern w:val="32"/>
      <w:szCs w:val="28"/>
      <w:u w:val="single"/>
    </w:rPr>
  </w:style>
  <w:style w:type="character" w:customStyle="1" w:styleId="Heading2Char">
    <w:name w:val="Heading 2 Char"/>
    <w:link w:val="Heading2"/>
    <w:uiPriority w:val="19"/>
    <w:rsid w:val="00C45AC9"/>
    <w:rPr>
      <w:rFonts w:asciiTheme="majorHAnsi" w:eastAsia="MingLiU" w:hAnsiTheme="majorHAnsi"/>
      <w:b/>
      <w:bCs/>
      <w:szCs w:val="26"/>
    </w:rPr>
  </w:style>
  <w:style w:type="character" w:customStyle="1" w:styleId="Heading3Char">
    <w:name w:val="Heading 3 Char"/>
    <w:link w:val="Heading3"/>
    <w:uiPriority w:val="19"/>
    <w:rsid w:val="00C45AC9"/>
    <w:rPr>
      <w:rFonts w:asciiTheme="majorHAnsi" w:eastAsia="MingLiU" w:hAnsiTheme="majorHAnsi"/>
      <w:b/>
      <w:bCs/>
    </w:rPr>
  </w:style>
  <w:style w:type="paragraph" w:styleId="Title">
    <w:name w:val="Title"/>
    <w:basedOn w:val="Normal"/>
    <w:next w:val="Normal"/>
    <w:link w:val="TitleChar"/>
    <w:uiPriority w:val="10"/>
    <w:qFormat/>
    <w:rsid w:val="00455A1A"/>
    <w:pPr>
      <w:pBdr>
        <w:bottom w:val="single" w:sz="8" w:space="4" w:color="4F81BD"/>
      </w:pBdr>
      <w:spacing w:after="300"/>
      <w:contextualSpacing/>
    </w:pPr>
    <w:rPr>
      <w:rFonts w:ascii="Arial" w:eastAsia="Times New Roman" w:hAnsi="Arial"/>
      <w:color w:val="17365D"/>
      <w:spacing w:val="5"/>
      <w:kern w:val="28"/>
      <w:sz w:val="36"/>
      <w:szCs w:val="52"/>
    </w:rPr>
  </w:style>
  <w:style w:type="character" w:customStyle="1" w:styleId="TitleChar">
    <w:name w:val="Title Char"/>
    <w:link w:val="Title"/>
    <w:uiPriority w:val="10"/>
    <w:rsid w:val="00455A1A"/>
    <w:rPr>
      <w:rFonts w:ascii="Arial" w:eastAsia="Times New Roman" w:hAnsi="Arial" w:cs="Times New Roman"/>
      <w:color w:val="17365D"/>
      <w:spacing w:val="5"/>
      <w:kern w:val="28"/>
      <w:sz w:val="36"/>
      <w:szCs w:val="52"/>
    </w:rPr>
  </w:style>
  <w:style w:type="paragraph" w:styleId="NoSpacing">
    <w:name w:val="No Spacing"/>
    <w:link w:val="NoSpacingChar"/>
    <w:uiPriority w:val="1"/>
    <w:qFormat/>
    <w:rsid w:val="00C45AC9"/>
    <w:rPr>
      <w:rFonts w:asciiTheme="minorHAnsi" w:eastAsia="MingLiU" w:hAnsiTheme="minorHAnsi"/>
      <w:lang w:eastAsia="ja-JP"/>
    </w:rPr>
  </w:style>
  <w:style w:type="character" w:customStyle="1" w:styleId="NoSpacingChar">
    <w:name w:val="No Spacing Char"/>
    <w:link w:val="NoSpacing"/>
    <w:uiPriority w:val="1"/>
    <w:rsid w:val="00C45AC9"/>
    <w:rPr>
      <w:rFonts w:asciiTheme="minorHAnsi" w:eastAsia="MingLiU" w:hAnsiTheme="minorHAnsi"/>
      <w:lang w:eastAsia="ja-JP"/>
    </w:rPr>
  </w:style>
  <w:style w:type="paragraph" w:styleId="BodyText">
    <w:name w:val="Body Text"/>
    <w:basedOn w:val="Normal"/>
    <w:link w:val="BodyTextChar"/>
    <w:rsid w:val="00C45AC9"/>
    <w:pPr>
      <w:spacing w:after="120"/>
    </w:pPr>
  </w:style>
  <w:style w:type="character" w:customStyle="1" w:styleId="BodyTextChar">
    <w:name w:val="Body Text Char"/>
    <w:basedOn w:val="DefaultParagraphFont"/>
    <w:link w:val="BodyText"/>
    <w:rsid w:val="00C45AC9"/>
    <w:rPr>
      <w:rFonts w:asciiTheme="minorHAnsi" w:eastAsia="MingLiU" w:hAnsiTheme="minorHAnsi"/>
    </w:rPr>
  </w:style>
  <w:style w:type="table" w:customStyle="1" w:styleId="Training">
    <w:name w:val="Training"/>
    <w:basedOn w:val="TableNormal"/>
    <w:uiPriority w:val="99"/>
    <w:rsid w:val="00455A1A"/>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Arial" w:hAnsi="Arial"/>
      </w:rPr>
    </w:tblStylePr>
  </w:style>
  <w:style w:type="paragraph" w:styleId="Footer">
    <w:name w:val="footer"/>
    <w:basedOn w:val="Normal"/>
    <w:link w:val="FooterChar"/>
    <w:rsid w:val="002145F3"/>
    <w:pPr>
      <w:tabs>
        <w:tab w:val="center" w:pos="4763"/>
        <w:tab w:val="right" w:pos="9497"/>
      </w:tabs>
      <w:spacing w:line="260" w:lineRule="atLeast"/>
    </w:pPr>
    <w:rPr>
      <w:rFonts w:ascii="Arial" w:eastAsia="SimSun" w:hAnsi="Arial"/>
      <w:sz w:val="12"/>
      <w:szCs w:val="20"/>
      <w:lang w:eastAsia="zh-CN"/>
    </w:rPr>
  </w:style>
  <w:style w:type="character" w:customStyle="1" w:styleId="FooterChar">
    <w:name w:val="Footer Char"/>
    <w:link w:val="Footer"/>
    <w:rsid w:val="002145F3"/>
    <w:rPr>
      <w:rFonts w:ascii="Arial" w:eastAsia="SimSun" w:hAnsi="Arial" w:cs="Times New Roman"/>
      <w:sz w:val="12"/>
      <w:szCs w:val="20"/>
      <w:lang w:eastAsia="zh-CN"/>
    </w:rPr>
  </w:style>
  <w:style w:type="character" w:styleId="PageNumber">
    <w:name w:val="page number"/>
    <w:rsid w:val="002145F3"/>
    <w:rPr>
      <w:rFonts w:ascii="Arial" w:hAnsi="Arial"/>
      <w:sz w:val="20"/>
    </w:rPr>
  </w:style>
  <w:style w:type="paragraph" w:customStyle="1" w:styleId="ssPara1">
    <w:name w:val="ssPara1"/>
    <w:basedOn w:val="Normal"/>
    <w:uiPriority w:val="34"/>
    <w:qFormat/>
    <w:rsid w:val="00C45AC9"/>
    <w:pPr>
      <w:spacing w:after="260"/>
    </w:pPr>
  </w:style>
  <w:style w:type="paragraph" w:styleId="Header">
    <w:name w:val="header"/>
    <w:basedOn w:val="Normal"/>
    <w:link w:val="HeaderChar"/>
    <w:uiPriority w:val="99"/>
    <w:unhideWhenUsed/>
    <w:rsid w:val="002145F3"/>
    <w:pPr>
      <w:tabs>
        <w:tab w:val="center" w:pos="4513"/>
        <w:tab w:val="right" w:pos="9026"/>
      </w:tabs>
    </w:pPr>
  </w:style>
  <w:style w:type="character" w:customStyle="1" w:styleId="HeaderChar">
    <w:name w:val="Header Char"/>
    <w:basedOn w:val="DefaultParagraphFont"/>
    <w:link w:val="Header"/>
    <w:uiPriority w:val="99"/>
    <w:rsid w:val="002145F3"/>
  </w:style>
  <w:style w:type="character" w:customStyle="1" w:styleId="Heading4Char">
    <w:name w:val="Heading 4 Char"/>
    <w:link w:val="Heading4"/>
    <w:uiPriority w:val="19"/>
    <w:rsid w:val="00C45AC9"/>
    <w:rPr>
      <w:rFonts w:asciiTheme="majorHAnsi" w:eastAsia="MingLiU" w:hAnsiTheme="majorHAnsi"/>
      <w:b/>
      <w:bCs/>
      <w:iCs/>
    </w:rPr>
  </w:style>
  <w:style w:type="character" w:customStyle="1" w:styleId="Heading5Char">
    <w:name w:val="Heading 5 Char"/>
    <w:link w:val="Heading5"/>
    <w:uiPriority w:val="19"/>
    <w:rsid w:val="00C45AC9"/>
    <w:rPr>
      <w:rFonts w:asciiTheme="majorHAnsi" w:eastAsia="MingLiU" w:hAnsiTheme="majorHAnsi"/>
      <w:b/>
    </w:rPr>
  </w:style>
  <w:style w:type="character" w:customStyle="1" w:styleId="Heading6Char">
    <w:name w:val="Heading 6 Char"/>
    <w:link w:val="Heading6"/>
    <w:uiPriority w:val="19"/>
    <w:rsid w:val="00C45AC9"/>
    <w:rPr>
      <w:rFonts w:asciiTheme="majorHAnsi" w:eastAsia="MingLiU" w:hAnsiTheme="majorHAnsi"/>
      <w:b/>
      <w:iCs/>
    </w:rPr>
  </w:style>
  <w:style w:type="numbering" w:customStyle="1" w:styleId="ListHeadings">
    <w:name w:val="List Headings"/>
    <w:uiPriority w:val="99"/>
    <w:rsid w:val="00732881"/>
    <w:pPr>
      <w:numPr>
        <w:numId w:val="3"/>
      </w:numPr>
    </w:pPr>
  </w:style>
  <w:style w:type="paragraph" w:customStyle="1" w:styleId="ssNoHeading1">
    <w:name w:val="ssNoHeading1"/>
    <w:basedOn w:val="Heading1"/>
    <w:uiPriority w:val="29"/>
    <w:qFormat/>
    <w:rsid w:val="00465953"/>
    <w:pPr>
      <w:keepNext w:val="0"/>
      <w:keepLines w:val="0"/>
    </w:pPr>
    <w:rPr>
      <w:b w:val="0"/>
      <w:u w:val="none"/>
    </w:rPr>
  </w:style>
  <w:style w:type="paragraph" w:customStyle="1" w:styleId="ssNoHeading2">
    <w:name w:val="ssNoHeading2"/>
    <w:basedOn w:val="Heading2"/>
    <w:uiPriority w:val="29"/>
    <w:qFormat/>
    <w:rsid w:val="008C0FC8"/>
    <w:pPr>
      <w:keepNext w:val="0"/>
      <w:keepLines w:val="0"/>
    </w:pPr>
    <w:rPr>
      <w:b w:val="0"/>
    </w:rPr>
  </w:style>
  <w:style w:type="paragraph" w:customStyle="1" w:styleId="ssNoHeading3">
    <w:name w:val="ssNoHeading3"/>
    <w:basedOn w:val="Heading3"/>
    <w:uiPriority w:val="29"/>
    <w:qFormat/>
    <w:rsid w:val="008C0FC8"/>
    <w:pPr>
      <w:keepNext w:val="0"/>
      <w:keepLines w:val="0"/>
    </w:pPr>
    <w:rPr>
      <w:b w:val="0"/>
    </w:rPr>
  </w:style>
  <w:style w:type="paragraph" w:customStyle="1" w:styleId="ssNoHeading4">
    <w:name w:val="ssNoHeading4"/>
    <w:basedOn w:val="Heading4"/>
    <w:uiPriority w:val="29"/>
    <w:qFormat/>
    <w:rsid w:val="008C0FC8"/>
    <w:pPr>
      <w:keepNext w:val="0"/>
      <w:keepLines w:val="0"/>
    </w:pPr>
    <w:rPr>
      <w:b w:val="0"/>
    </w:rPr>
  </w:style>
  <w:style w:type="paragraph" w:customStyle="1" w:styleId="ssNoHeading5">
    <w:name w:val="ssNoHeading5"/>
    <w:basedOn w:val="Heading5"/>
    <w:uiPriority w:val="29"/>
    <w:qFormat/>
    <w:rsid w:val="008C0FC8"/>
    <w:pPr>
      <w:keepNext w:val="0"/>
      <w:keepLines w:val="0"/>
    </w:pPr>
    <w:rPr>
      <w:b w:val="0"/>
    </w:rPr>
  </w:style>
  <w:style w:type="paragraph" w:customStyle="1" w:styleId="ssNoHeading6">
    <w:name w:val="ssNoHeading6"/>
    <w:basedOn w:val="Heading6"/>
    <w:uiPriority w:val="29"/>
    <w:qFormat/>
    <w:rsid w:val="008C0FC8"/>
    <w:pPr>
      <w:keepNext w:val="0"/>
      <w:keepLines w:val="0"/>
    </w:pPr>
    <w:rPr>
      <w:b w:val="0"/>
    </w:rPr>
  </w:style>
  <w:style w:type="paragraph" w:customStyle="1" w:styleId="ssPara2">
    <w:name w:val="ssPara2"/>
    <w:basedOn w:val="Normal"/>
    <w:uiPriority w:val="34"/>
    <w:qFormat/>
    <w:rsid w:val="00C45AC9"/>
    <w:pPr>
      <w:spacing w:after="260"/>
      <w:ind w:left="709"/>
    </w:pPr>
  </w:style>
  <w:style w:type="paragraph" w:customStyle="1" w:styleId="ssPara3">
    <w:name w:val="ssPara3"/>
    <w:basedOn w:val="Normal"/>
    <w:uiPriority w:val="34"/>
    <w:qFormat/>
    <w:rsid w:val="00C45AC9"/>
    <w:pPr>
      <w:spacing w:after="260"/>
      <w:ind w:left="1418"/>
    </w:pPr>
  </w:style>
  <w:style w:type="paragraph" w:customStyle="1" w:styleId="ssPara4">
    <w:name w:val="ssPara4"/>
    <w:basedOn w:val="Normal"/>
    <w:uiPriority w:val="34"/>
    <w:qFormat/>
    <w:rsid w:val="00C45AC9"/>
    <w:pPr>
      <w:spacing w:after="260"/>
      <w:ind w:left="1985"/>
    </w:pPr>
  </w:style>
  <w:style w:type="paragraph" w:customStyle="1" w:styleId="ssPara5">
    <w:name w:val="ssPara5"/>
    <w:basedOn w:val="Normal"/>
    <w:uiPriority w:val="34"/>
    <w:qFormat/>
    <w:rsid w:val="00C45AC9"/>
    <w:pPr>
      <w:spacing w:after="260"/>
      <w:ind w:left="2552"/>
    </w:pPr>
  </w:style>
  <w:style w:type="paragraph" w:customStyle="1" w:styleId="ssPara6">
    <w:name w:val="ssPara6"/>
    <w:basedOn w:val="Normal"/>
    <w:uiPriority w:val="34"/>
    <w:qFormat/>
    <w:rsid w:val="00C45AC9"/>
    <w:pPr>
      <w:spacing w:after="260"/>
      <w:ind w:left="3119"/>
    </w:pPr>
  </w:style>
  <w:style w:type="paragraph" w:customStyle="1" w:styleId="ssqAppendix">
    <w:name w:val="ssqAppendix"/>
    <w:basedOn w:val="ssPara1"/>
    <w:next w:val="ssPara1"/>
    <w:uiPriority w:val="39"/>
    <w:qFormat/>
    <w:rsid w:val="00614675"/>
    <w:pPr>
      <w:pageBreakBefore/>
      <w:numPr>
        <w:ilvl w:val="1"/>
        <w:numId w:val="21"/>
      </w:numPr>
      <w:jc w:val="center"/>
    </w:pPr>
    <w:rPr>
      <w:rFonts w:asciiTheme="majorHAnsi" w:hAnsiTheme="majorHAnsi" w:cstheme="minorBidi"/>
      <w:b/>
      <w:caps/>
      <w:lang w:eastAsia="en-US"/>
    </w:rPr>
  </w:style>
  <w:style w:type="paragraph" w:customStyle="1" w:styleId="ssqExhibit">
    <w:name w:val="ssqExhibit"/>
    <w:basedOn w:val="ssPara1"/>
    <w:next w:val="ssPara1"/>
    <w:uiPriority w:val="41"/>
    <w:qFormat/>
    <w:rsid w:val="00851935"/>
    <w:pPr>
      <w:pageBreakBefore/>
      <w:numPr>
        <w:ilvl w:val="1"/>
        <w:numId w:val="22"/>
      </w:numPr>
      <w:jc w:val="center"/>
    </w:pPr>
    <w:rPr>
      <w:rFonts w:asciiTheme="majorHAnsi" w:hAnsiTheme="majorHAnsi" w:cstheme="minorBidi"/>
      <w:b/>
      <w:caps/>
      <w:lang w:eastAsia="en-US"/>
    </w:rPr>
  </w:style>
  <w:style w:type="paragraph" w:customStyle="1" w:styleId="ssqPart">
    <w:name w:val="ssqPart"/>
    <w:basedOn w:val="ssPara1"/>
    <w:next w:val="ssPara1"/>
    <w:uiPriority w:val="43"/>
    <w:qFormat/>
    <w:rsid w:val="00614675"/>
    <w:pPr>
      <w:numPr>
        <w:ilvl w:val="1"/>
        <w:numId w:val="23"/>
      </w:numPr>
      <w:jc w:val="center"/>
    </w:pPr>
    <w:rPr>
      <w:rFonts w:asciiTheme="majorHAnsi" w:hAnsiTheme="majorHAnsi" w:cstheme="minorBidi"/>
      <w:b/>
      <w:caps/>
      <w:lang w:eastAsia="en-US"/>
    </w:rPr>
  </w:style>
  <w:style w:type="paragraph" w:customStyle="1" w:styleId="ssqSchedule">
    <w:name w:val="ssqSchedule"/>
    <w:basedOn w:val="ssPara1"/>
    <w:next w:val="ssPara1"/>
    <w:uiPriority w:val="45"/>
    <w:qFormat/>
    <w:rsid w:val="00C45AC9"/>
    <w:pPr>
      <w:pageBreakBefore/>
      <w:numPr>
        <w:ilvl w:val="1"/>
        <w:numId w:val="10"/>
      </w:numPr>
      <w:jc w:val="center"/>
    </w:pPr>
    <w:rPr>
      <w:rFonts w:asciiTheme="majorHAnsi" w:hAnsiTheme="majorHAnsi" w:cstheme="minorBidi"/>
      <w:b/>
      <w:caps/>
      <w:lang w:eastAsia="en-US"/>
    </w:rPr>
  </w:style>
  <w:style w:type="paragraph" w:customStyle="1" w:styleId="ssqToCAdd">
    <w:name w:val="ssqToCAdd"/>
    <w:basedOn w:val="ssPara1"/>
    <w:next w:val="ssPara1"/>
    <w:uiPriority w:val="49"/>
    <w:qFormat/>
    <w:rsid w:val="008C0FC8"/>
  </w:style>
  <w:style w:type="paragraph" w:customStyle="1" w:styleId="ssRestartAppendix">
    <w:name w:val="ssRestartAppendix"/>
    <w:basedOn w:val="Normal"/>
    <w:next w:val="ssPara1"/>
    <w:uiPriority w:val="40"/>
    <w:rsid w:val="00614675"/>
    <w:pPr>
      <w:numPr>
        <w:numId w:val="21"/>
      </w:numPr>
    </w:pPr>
    <w:rPr>
      <w:rFonts w:eastAsiaTheme="minorHAnsi" w:cstheme="minorBidi"/>
      <w:color w:val="FF0000"/>
      <w:lang w:eastAsia="en-US"/>
    </w:rPr>
  </w:style>
  <w:style w:type="paragraph" w:customStyle="1" w:styleId="ssRestartExhibit">
    <w:name w:val="ssRestartExhibit"/>
    <w:basedOn w:val="Normal"/>
    <w:next w:val="ssPara1"/>
    <w:uiPriority w:val="42"/>
    <w:rsid w:val="00614675"/>
    <w:pPr>
      <w:numPr>
        <w:numId w:val="22"/>
      </w:numPr>
    </w:pPr>
    <w:rPr>
      <w:rFonts w:eastAsiaTheme="minorHAnsi" w:cstheme="minorBidi"/>
      <w:color w:val="FF0000"/>
      <w:lang w:eastAsia="en-US"/>
    </w:rPr>
  </w:style>
  <w:style w:type="paragraph" w:customStyle="1" w:styleId="ssRestartNumber">
    <w:name w:val="ssRestartNumber"/>
    <w:basedOn w:val="Normal"/>
    <w:next w:val="ssPara1"/>
    <w:uiPriority w:val="38"/>
    <w:rsid w:val="00732881"/>
    <w:pPr>
      <w:numPr>
        <w:numId w:val="8"/>
      </w:numPr>
    </w:pPr>
    <w:rPr>
      <w:rFonts w:eastAsia="Times New Roman"/>
      <w:color w:val="FF0000"/>
    </w:rPr>
  </w:style>
  <w:style w:type="paragraph" w:customStyle="1" w:styleId="ssRestartPart">
    <w:name w:val="ssRestartPart"/>
    <w:basedOn w:val="Normal"/>
    <w:next w:val="ssPara1"/>
    <w:uiPriority w:val="44"/>
    <w:rsid w:val="00614675"/>
    <w:pPr>
      <w:numPr>
        <w:numId w:val="23"/>
      </w:numPr>
    </w:pPr>
    <w:rPr>
      <w:rFonts w:eastAsiaTheme="minorHAnsi" w:cstheme="minorBidi"/>
      <w:color w:val="FF0000"/>
      <w:lang w:eastAsia="en-US"/>
    </w:rPr>
  </w:style>
  <w:style w:type="paragraph" w:customStyle="1" w:styleId="ssRestartSchedule">
    <w:name w:val="ssRestartSchedule"/>
    <w:basedOn w:val="Normal"/>
    <w:next w:val="ssPara1"/>
    <w:uiPriority w:val="46"/>
    <w:rsid w:val="00732881"/>
    <w:pPr>
      <w:numPr>
        <w:numId w:val="10"/>
      </w:numPr>
    </w:pPr>
    <w:rPr>
      <w:rFonts w:eastAsiaTheme="minorHAnsi" w:cstheme="minorBidi"/>
      <w:color w:val="FF0000"/>
      <w:lang w:eastAsia="en-US"/>
    </w:rPr>
  </w:style>
  <w:style w:type="numbering" w:customStyle="1" w:styleId="AppendixNumbering">
    <w:name w:val="Appendix Numbering"/>
    <w:uiPriority w:val="99"/>
    <w:rsid w:val="00614675"/>
    <w:pPr>
      <w:numPr>
        <w:numId w:val="1"/>
      </w:numPr>
    </w:pPr>
  </w:style>
  <w:style w:type="numbering" w:customStyle="1" w:styleId="ExhibitNumbering">
    <w:name w:val="Exhibit Numbering"/>
    <w:uiPriority w:val="99"/>
    <w:rsid w:val="00614675"/>
    <w:pPr>
      <w:numPr>
        <w:numId w:val="2"/>
      </w:numPr>
    </w:pPr>
  </w:style>
  <w:style w:type="numbering" w:customStyle="1" w:styleId="PartNumbering">
    <w:name w:val="Part Numbering"/>
    <w:uiPriority w:val="99"/>
    <w:rsid w:val="00614675"/>
    <w:pPr>
      <w:numPr>
        <w:numId w:val="4"/>
      </w:numPr>
    </w:pPr>
  </w:style>
  <w:style w:type="numbering" w:customStyle="1" w:styleId="ScheduleNumbering">
    <w:name w:val="Schedule Numbering"/>
    <w:uiPriority w:val="99"/>
    <w:rsid w:val="00732881"/>
    <w:pPr>
      <w:numPr>
        <w:numId w:val="5"/>
      </w:numPr>
    </w:pPr>
  </w:style>
  <w:style w:type="paragraph" w:styleId="TOC1">
    <w:name w:val="toc 1"/>
    <w:basedOn w:val="Normal"/>
    <w:next w:val="Normal"/>
    <w:autoRedefine/>
    <w:rsid w:val="00FF3360"/>
    <w:pPr>
      <w:tabs>
        <w:tab w:val="right" w:leader="dot" w:pos="9497"/>
      </w:tabs>
      <w:spacing w:before="260"/>
      <w:ind w:left="709" w:right="595" w:hanging="709"/>
    </w:pPr>
    <w:rPr>
      <w:rFonts w:eastAsia="Times New Roman"/>
    </w:rPr>
  </w:style>
  <w:style w:type="paragraph" w:styleId="TOCHeading">
    <w:name w:val="TOC Heading"/>
    <w:basedOn w:val="Heading1"/>
    <w:next w:val="Normal"/>
    <w:uiPriority w:val="39"/>
    <w:semiHidden/>
    <w:unhideWhenUsed/>
    <w:qFormat/>
    <w:rsid w:val="009D4EB0"/>
    <w:pPr>
      <w:numPr>
        <w:ilvl w:val="0"/>
        <w:numId w:val="0"/>
      </w:numPr>
      <w:spacing w:before="480" w:after="0" w:line="276" w:lineRule="auto"/>
      <w:jc w:val="left"/>
      <w:outlineLvl w:val="9"/>
    </w:pPr>
    <w:rPr>
      <w:rFonts w:eastAsiaTheme="majorEastAsia" w:cstheme="majorBidi"/>
      <w:color w:val="365F91" w:themeColor="accent1" w:themeShade="BF"/>
      <w:kern w:val="0"/>
      <w:sz w:val="28"/>
      <w:u w:val="none"/>
      <w:lang w:eastAsia="ja-JP"/>
    </w:rPr>
  </w:style>
  <w:style w:type="character" w:styleId="Hyperlink">
    <w:name w:val="Hyperlink"/>
    <w:basedOn w:val="DefaultParagraphFont"/>
    <w:uiPriority w:val="99"/>
    <w:unhideWhenUsed/>
    <w:rsid w:val="009D4EB0"/>
    <w:rPr>
      <w:color w:val="0000FF" w:themeColor="hyperlink"/>
      <w:u w:val="single"/>
    </w:rPr>
  </w:style>
  <w:style w:type="paragraph" w:styleId="BalloonText">
    <w:name w:val="Balloon Text"/>
    <w:basedOn w:val="Normal"/>
    <w:link w:val="BalloonTextChar"/>
    <w:uiPriority w:val="99"/>
    <w:semiHidden/>
    <w:unhideWhenUsed/>
    <w:rsid w:val="009D4EB0"/>
    <w:rPr>
      <w:rFonts w:ascii="Tahoma" w:hAnsi="Tahoma" w:cs="Tahoma"/>
      <w:sz w:val="16"/>
      <w:szCs w:val="16"/>
    </w:rPr>
  </w:style>
  <w:style w:type="character" w:customStyle="1" w:styleId="BalloonTextChar">
    <w:name w:val="Balloon Text Char"/>
    <w:basedOn w:val="DefaultParagraphFont"/>
    <w:link w:val="BalloonText"/>
    <w:uiPriority w:val="99"/>
    <w:semiHidden/>
    <w:rsid w:val="009D4EB0"/>
    <w:rPr>
      <w:rFonts w:ascii="Tahoma" w:hAnsi="Tahoma" w:cs="Tahoma"/>
      <w:sz w:val="16"/>
      <w:szCs w:val="16"/>
    </w:rPr>
  </w:style>
  <w:style w:type="paragraph" w:styleId="Index1">
    <w:name w:val="index 1"/>
    <w:basedOn w:val="Normal"/>
    <w:next w:val="Normal"/>
    <w:autoRedefine/>
    <w:rsid w:val="00732881"/>
    <w:pPr>
      <w:spacing w:after="120"/>
      <w:ind w:left="221" w:hanging="221"/>
    </w:pPr>
    <w:rPr>
      <w:rFonts w:eastAsia="Times New Roman"/>
    </w:rPr>
  </w:style>
  <w:style w:type="paragraph" w:styleId="IndexHeading">
    <w:name w:val="index heading"/>
    <w:basedOn w:val="Normal"/>
    <w:next w:val="Index1"/>
    <w:rsid w:val="00732881"/>
    <w:pPr>
      <w:jc w:val="left"/>
    </w:pPr>
    <w:rPr>
      <w:rFonts w:asciiTheme="majorHAnsi" w:eastAsiaTheme="majorEastAsia" w:hAnsiTheme="majorHAnsi" w:cstheme="majorBidi"/>
      <w:b/>
      <w:bCs/>
    </w:rPr>
  </w:style>
  <w:style w:type="paragraph" w:styleId="Index2">
    <w:name w:val="index 2"/>
    <w:basedOn w:val="Normal"/>
    <w:next w:val="Normal"/>
    <w:autoRedefine/>
    <w:rsid w:val="00732881"/>
    <w:pPr>
      <w:spacing w:after="120"/>
      <w:ind w:left="442" w:hanging="221"/>
    </w:pPr>
    <w:rPr>
      <w:rFonts w:eastAsia="Times New Roman"/>
    </w:rPr>
  </w:style>
  <w:style w:type="paragraph" w:styleId="TOC2">
    <w:name w:val="toc 2"/>
    <w:basedOn w:val="Normal"/>
    <w:next w:val="Normal"/>
    <w:autoRedefine/>
    <w:semiHidden/>
    <w:rsid w:val="00FF3360"/>
    <w:pPr>
      <w:tabs>
        <w:tab w:val="right" w:leader="dot" w:pos="9497"/>
      </w:tabs>
      <w:spacing w:before="260"/>
      <w:ind w:left="1418" w:right="595" w:hanging="709"/>
    </w:pPr>
    <w:rPr>
      <w:rFonts w:eastAsia="Times New Roman"/>
    </w:rPr>
  </w:style>
  <w:style w:type="paragraph" w:styleId="TOC3">
    <w:name w:val="toc 3"/>
    <w:basedOn w:val="Normal"/>
    <w:next w:val="Normal"/>
    <w:autoRedefine/>
    <w:semiHidden/>
    <w:rsid w:val="00FF3360"/>
    <w:pPr>
      <w:tabs>
        <w:tab w:val="right" w:leader="dot" w:pos="9497"/>
      </w:tabs>
      <w:spacing w:before="260"/>
      <w:ind w:left="2127" w:right="595" w:hanging="709"/>
    </w:pPr>
    <w:rPr>
      <w:rFonts w:eastAsia="Times New Roman"/>
    </w:rPr>
  </w:style>
  <w:style w:type="paragraph" w:styleId="TOC4">
    <w:name w:val="toc 4"/>
    <w:basedOn w:val="Normal"/>
    <w:next w:val="Normal"/>
    <w:autoRedefine/>
    <w:semiHidden/>
    <w:rsid w:val="00FF3360"/>
    <w:pPr>
      <w:tabs>
        <w:tab w:val="right" w:leader="dot" w:pos="9497"/>
      </w:tabs>
      <w:spacing w:before="260"/>
      <w:ind w:left="2694" w:right="595" w:hanging="709"/>
    </w:pPr>
    <w:rPr>
      <w:rFonts w:eastAsia="Times New Roman"/>
    </w:rPr>
  </w:style>
  <w:style w:type="table" w:styleId="TableGrid">
    <w:name w:val="Table Grid"/>
    <w:basedOn w:val="TableNormal"/>
    <w:rsid w:val="00732881"/>
    <w:rPr>
      <w:rFonts w:eastAsia="SimSun"/>
      <w:szCs w:val="20"/>
    </w:rPr>
    <w:tblPr/>
  </w:style>
  <w:style w:type="paragraph" w:styleId="Index3">
    <w:name w:val="index 3"/>
    <w:basedOn w:val="Normal"/>
    <w:next w:val="Normal"/>
    <w:autoRedefine/>
    <w:semiHidden/>
    <w:rsid w:val="00732881"/>
    <w:pPr>
      <w:spacing w:after="120"/>
      <w:ind w:left="663" w:hanging="221"/>
    </w:pPr>
    <w:rPr>
      <w:rFonts w:eastAsia="Times New Roman"/>
    </w:rPr>
  </w:style>
  <w:style w:type="paragraph" w:styleId="Index4">
    <w:name w:val="index 4"/>
    <w:basedOn w:val="Normal"/>
    <w:next w:val="Normal"/>
    <w:autoRedefine/>
    <w:semiHidden/>
    <w:rsid w:val="00732881"/>
    <w:pPr>
      <w:spacing w:after="120"/>
      <w:ind w:left="879" w:hanging="221"/>
    </w:pPr>
    <w:rPr>
      <w:rFonts w:eastAsia="Times New Roman"/>
    </w:rPr>
  </w:style>
  <w:style w:type="paragraph" w:styleId="Index5">
    <w:name w:val="index 5"/>
    <w:basedOn w:val="Normal"/>
    <w:next w:val="Normal"/>
    <w:autoRedefine/>
    <w:semiHidden/>
    <w:rsid w:val="00732881"/>
    <w:pPr>
      <w:spacing w:after="120"/>
      <w:ind w:left="1100" w:hanging="221"/>
    </w:pPr>
    <w:rPr>
      <w:rFonts w:eastAsia="Times New Roman"/>
    </w:rPr>
  </w:style>
  <w:style w:type="paragraph" w:styleId="Index6">
    <w:name w:val="index 6"/>
    <w:basedOn w:val="Normal"/>
    <w:next w:val="Normal"/>
    <w:autoRedefine/>
    <w:semiHidden/>
    <w:rsid w:val="00732881"/>
    <w:pPr>
      <w:spacing w:after="120"/>
      <w:ind w:left="1321" w:hanging="221"/>
    </w:pPr>
    <w:rPr>
      <w:rFonts w:eastAsia="Times New Roman"/>
    </w:rPr>
  </w:style>
  <w:style w:type="paragraph" w:styleId="Index7">
    <w:name w:val="index 7"/>
    <w:basedOn w:val="Normal"/>
    <w:next w:val="Normal"/>
    <w:autoRedefine/>
    <w:semiHidden/>
    <w:rsid w:val="00732881"/>
    <w:pPr>
      <w:spacing w:after="120"/>
      <w:ind w:left="1542" w:hanging="221"/>
    </w:pPr>
    <w:rPr>
      <w:rFonts w:eastAsia="Times New Roman"/>
    </w:rPr>
  </w:style>
  <w:style w:type="paragraph" w:styleId="Index8">
    <w:name w:val="index 8"/>
    <w:basedOn w:val="Normal"/>
    <w:next w:val="Normal"/>
    <w:autoRedefine/>
    <w:semiHidden/>
    <w:rsid w:val="00732881"/>
    <w:pPr>
      <w:spacing w:after="120"/>
      <w:ind w:left="1763" w:hanging="221"/>
    </w:pPr>
    <w:rPr>
      <w:rFonts w:eastAsia="Times New Roman"/>
    </w:rPr>
  </w:style>
  <w:style w:type="paragraph" w:styleId="Index9">
    <w:name w:val="index 9"/>
    <w:basedOn w:val="Normal"/>
    <w:next w:val="Normal"/>
    <w:autoRedefine/>
    <w:semiHidden/>
    <w:rsid w:val="00732881"/>
    <w:pPr>
      <w:spacing w:after="120"/>
      <w:ind w:left="1979" w:hanging="221"/>
    </w:pPr>
    <w:rPr>
      <w:rFonts w:eastAsia="Times New Roman"/>
    </w:rPr>
  </w:style>
  <w:style w:type="paragraph" w:styleId="EnvelopeAddress">
    <w:name w:val="envelope address"/>
    <w:basedOn w:val="Normal"/>
    <w:uiPriority w:val="99"/>
    <w:semiHidden/>
    <w:unhideWhenUsed/>
    <w:rsid w:val="00C45AC9"/>
    <w:pPr>
      <w:framePr w:w="7920" w:h="1980" w:hRule="exact" w:hSpace="180" w:wrap="auto" w:hAnchor="page" w:xAlign="center" w:yAlign="bottom"/>
      <w:ind w:left="2880"/>
    </w:pPr>
    <w:rPr>
      <w:rFonts w:asciiTheme="majorHAnsi" w:hAnsiTheme="majorHAnsi" w:cstheme="majorBidi"/>
      <w:sz w:val="24"/>
      <w:szCs w:val="24"/>
    </w:rPr>
  </w:style>
  <w:style w:type="numbering" w:customStyle="1" w:styleId="SectionNumbering">
    <w:name w:val="Section Numbering"/>
    <w:uiPriority w:val="99"/>
    <w:rsid w:val="008353F9"/>
    <w:pPr>
      <w:numPr>
        <w:numId w:val="24"/>
      </w:numPr>
    </w:pPr>
  </w:style>
  <w:style w:type="paragraph" w:customStyle="1" w:styleId="ssqSection">
    <w:name w:val="ssqSection"/>
    <w:basedOn w:val="ssPara1"/>
    <w:next w:val="ssPara1"/>
    <w:uiPriority w:val="45"/>
    <w:qFormat/>
    <w:rsid w:val="008353F9"/>
    <w:pPr>
      <w:numPr>
        <w:ilvl w:val="1"/>
        <w:numId w:val="26"/>
      </w:numPr>
      <w:jc w:val="center"/>
    </w:pPr>
    <w:rPr>
      <w:rFonts w:asciiTheme="majorHAnsi" w:eastAsiaTheme="minorHAnsi" w:hAnsiTheme="majorHAnsi" w:cstheme="minorBidi"/>
      <w:b/>
      <w:caps/>
      <w:lang w:eastAsia="en-US"/>
    </w:rPr>
  </w:style>
  <w:style w:type="paragraph" w:customStyle="1" w:styleId="ssRestartSection">
    <w:name w:val="ssRestartSection"/>
    <w:basedOn w:val="Normal"/>
    <w:next w:val="ssPara1"/>
    <w:uiPriority w:val="46"/>
    <w:rsid w:val="008353F9"/>
    <w:pPr>
      <w:numPr>
        <w:numId w:val="26"/>
      </w:numPr>
    </w:pPr>
    <w:rPr>
      <w:rFonts w:eastAsiaTheme="minorHAnsi" w:cstheme="minorBidi"/>
      <w:color w:val="FF0000"/>
      <w:lang w:eastAsia="en-US"/>
    </w:rPr>
  </w:style>
  <w:style w:type="paragraph" w:customStyle="1" w:styleId="Default">
    <w:name w:val="Default"/>
    <w:rsid w:val="00C91F41"/>
    <w:pPr>
      <w:autoSpaceDE w:val="0"/>
      <w:autoSpaceDN w:val="0"/>
      <w:adjustRightInd w:val="0"/>
    </w:pPr>
    <w:rPr>
      <w:rFonts w:ascii="Verdana" w:hAnsi="Verdana" w:cs="Verdana"/>
      <w:color w:val="000000"/>
      <w:sz w:val="24"/>
      <w:szCs w:val="24"/>
    </w:rPr>
  </w:style>
  <w:style w:type="character" w:customStyle="1" w:styleId="ft">
    <w:name w:val="ft"/>
    <w:basedOn w:val="DefaultParagraphFont"/>
    <w:rsid w:val="004D04CA"/>
  </w:style>
  <w:style w:type="character" w:customStyle="1" w:styleId="fs">
    <w:name w:val="fs"/>
    <w:basedOn w:val="DefaultParagraphFont"/>
    <w:rsid w:val="004D04CA"/>
  </w:style>
  <w:style w:type="character" w:customStyle="1" w:styleId="fu">
    <w:name w:val="fu"/>
    <w:basedOn w:val="DefaultParagraphFont"/>
    <w:rsid w:val="004D04CA"/>
  </w:style>
  <w:style w:type="character" w:customStyle="1" w:styleId="fq">
    <w:name w:val="fq"/>
    <w:basedOn w:val="DefaultParagraphFont"/>
    <w:rsid w:val="004D0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ikit\Template%20Management%20System\Simmons\Templates\General.dotx" TargetMode="External"/></Relationships>
</file>

<file path=word/theme/theme1.xml><?xml version="1.0" encoding="utf-8"?>
<a:theme xmlns:a="http://schemas.openxmlformats.org/drawingml/2006/main" name="Simmon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mmons &amp; Simmo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15ACB-9198-4A83-9F6C-E5110EBDD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General.dotx</Template>
  <TotalTime>0</TotalTime>
  <Pages>3</Pages>
  <Words>1669</Words>
  <Characters>9517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JPMorgan Chase &amp; Co.</Company>
  <LinksUpToDate>false</LinksUpToDate>
  <CharactersWithSpaces>11164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Simmons &amp; Simmons</dc:creator>
  <cp:lastModifiedBy>JPMorgan Chase &amp; Co.</cp:lastModifiedBy>
  <cp:revision>2</cp:revision>
  <cp:lastPrinted>2016-03-14T15:25:00Z</cp:lastPrinted>
  <dcterms:created xsi:type="dcterms:W3CDTF">2016-05-05T18:12:00Z</dcterms:created>
  <dcterms:modified xsi:type="dcterms:W3CDTF">2016-05-05T18:12:00Z</dcterms:modified>
</cp:coreProperties>
</file>